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736A6" w14:textId="4451E3A5" w:rsidR="001112DE" w:rsidRPr="006257A7" w:rsidRDefault="002B4164" w:rsidP="00857C36">
      <w:pPr>
        <w:spacing w:after="0"/>
        <w:jc w:val="center"/>
        <w:outlineLvl w:val="0"/>
        <w:rPr>
          <w:rFonts w:cs="Times New Roman"/>
          <w:b/>
          <w:szCs w:val="24"/>
        </w:rPr>
      </w:pPr>
      <w:r w:rsidRPr="006257A7">
        <w:rPr>
          <w:rFonts w:cs="Times New Roman"/>
          <w:b/>
          <w:szCs w:val="24"/>
        </w:rPr>
        <w:t>Appendix 1</w:t>
      </w:r>
      <w:r w:rsidR="000F31B6" w:rsidRPr="006257A7">
        <w:rPr>
          <w:rFonts w:cs="Times New Roman"/>
          <w:b/>
          <w:szCs w:val="24"/>
        </w:rPr>
        <w:t>.</w:t>
      </w:r>
      <w:r w:rsidR="00286153" w:rsidRPr="006257A7">
        <w:rPr>
          <w:rFonts w:cs="Times New Roman"/>
          <w:b/>
          <w:szCs w:val="24"/>
        </w:rPr>
        <w:t xml:space="preserve"> </w:t>
      </w:r>
      <w:r w:rsidR="009F720F" w:rsidRPr="006257A7">
        <w:rPr>
          <w:rFonts w:cs="Times New Roman"/>
          <w:b/>
          <w:szCs w:val="24"/>
        </w:rPr>
        <w:t xml:space="preserve">Study </w:t>
      </w:r>
      <w:r w:rsidR="00E44A92">
        <w:rPr>
          <w:rFonts w:cs="Times New Roman"/>
          <w:b/>
          <w:szCs w:val="24"/>
        </w:rPr>
        <w:t>v</w:t>
      </w:r>
      <w:r w:rsidR="00286153" w:rsidRPr="006257A7">
        <w:rPr>
          <w:rFonts w:cs="Times New Roman"/>
          <w:b/>
          <w:szCs w:val="24"/>
        </w:rPr>
        <w:t>ariables</w:t>
      </w:r>
    </w:p>
    <w:p w14:paraId="38CB094F" w14:textId="6030E31B" w:rsidR="001112DE" w:rsidRPr="006257A7" w:rsidRDefault="001112DE" w:rsidP="002B4164">
      <w:pPr>
        <w:spacing w:after="0"/>
        <w:rPr>
          <w:rFonts w:cs="Times New Roman"/>
          <w:b/>
          <w:szCs w:val="24"/>
        </w:rPr>
      </w:pPr>
    </w:p>
    <w:p w14:paraId="3B07AC3B" w14:textId="3AA890E0" w:rsidR="00785CBA" w:rsidRPr="00C351EB" w:rsidRDefault="00C21BE9" w:rsidP="00C351EB">
      <w:pPr>
        <w:rPr>
          <w:rFonts w:cs="Times New Roman"/>
          <w:b/>
          <w:szCs w:val="24"/>
        </w:rPr>
      </w:pPr>
      <w:r w:rsidRPr="006257A7">
        <w:rPr>
          <w:rFonts w:eastAsiaTheme="majorEastAsia" w:cs="Times New Roman"/>
          <w:b/>
          <w:szCs w:val="24"/>
        </w:rPr>
        <w:t>Table A1</w:t>
      </w:r>
      <w:r w:rsidR="000F31B6" w:rsidRPr="006257A7">
        <w:rPr>
          <w:rFonts w:eastAsiaTheme="majorEastAsia" w:cs="Times New Roman"/>
          <w:b/>
          <w:szCs w:val="24"/>
        </w:rPr>
        <w:br/>
      </w:r>
      <w:r w:rsidR="001112DE" w:rsidRPr="006257A7">
        <w:rPr>
          <w:rFonts w:cs="Times New Roman"/>
          <w:b/>
          <w:szCs w:val="24"/>
        </w:rPr>
        <w:t xml:space="preserve">Study variables </w:t>
      </w:r>
      <w:r w:rsidR="009F720F" w:rsidRPr="006257A7">
        <w:rPr>
          <w:rFonts w:cs="Times New Roman"/>
          <w:b/>
          <w:szCs w:val="24"/>
        </w:rPr>
        <w:t>available from Data Repositories in</w:t>
      </w:r>
      <w:r w:rsidR="00286153" w:rsidRPr="006257A7">
        <w:rPr>
          <w:rFonts w:cs="Times New Roman"/>
          <w:b/>
          <w:szCs w:val="24"/>
        </w:rPr>
        <w:t xml:space="preserve"> Ontario, Manitoba and BC</w:t>
      </w:r>
    </w:p>
    <w:tbl>
      <w:tblPr>
        <w:tblStyle w:val="TableGridLight"/>
        <w:tblpPr w:leftFromText="180" w:rightFromText="180" w:vertAnchor="text" w:horzAnchor="margin" w:tblpY="24"/>
        <w:tblW w:w="4772" w:type="pct"/>
        <w:tblLook w:val="01E0" w:firstRow="1" w:lastRow="1" w:firstColumn="1" w:lastColumn="1" w:noHBand="0" w:noVBand="0"/>
      </w:tblPr>
      <w:tblGrid>
        <w:gridCol w:w="2548"/>
        <w:gridCol w:w="7229"/>
      </w:tblGrid>
      <w:tr w:rsidR="009F720F" w:rsidRPr="006257A7" w14:paraId="02617821" w14:textId="25508CC0" w:rsidTr="009F720F">
        <w:trPr>
          <w:trHeight w:val="697"/>
        </w:trPr>
        <w:tc>
          <w:tcPr>
            <w:tcW w:w="1303" w:type="pct"/>
            <w:vAlign w:val="center"/>
          </w:tcPr>
          <w:p w14:paraId="30B4E8A0" w14:textId="5D3C97F9" w:rsidR="009F720F" w:rsidRPr="006257A7" w:rsidRDefault="009F720F" w:rsidP="009F720F">
            <w:pPr>
              <w:rPr>
                <w:rFonts w:cs="Times New Roman"/>
                <w:b/>
                <w:szCs w:val="24"/>
              </w:rPr>
            </w:pPr>
            <w:r w:rsidRPr="006257A7">
              <w:rPr>
                <w:rFonts w:cs="Times New Roman"/>
                <w:b/>
                <w:szCs w:val="24"/>
              </w:rPr>
              <w:t>Variable</w:t>
            </w:r>
          </w:p>
        </w:tc>
        <w:tc>
          <w:tcPr>
            <w:tcW w:w="3697" w:type="pct"/>
            <w:vAlign w:val="center"/>
          </w:tcPr>
          <w:p w14:paraId="274D1945" w14:textId="77777777" w:rsidR="009F720F" w:rsidRPr="006257A7" w:rsidRDefault="009F720F" w:rsidP="009F720F">
            <w:pPr>
              <w:tabs>
                <w:tab w:val="center" w:pos="1680"/>
              </w:tabs>
              <w:rPr>
                <w:rFonts w:cs="Times New Roman"/>
                <w:b/>
                <w:szCs w:val="24"/>
              </w:rPr>
            </w:pPr>
            <w:r w:rsidRPr="006257A7">
              <w:rPr>
                <w:rFonts w:cs="Times New Roman"/>
                <w:b/>
                <w:szCs w:val="24"/>
              </w:rPr>
              <w:t xml:space="preserve">Definition </w:t>
            </w:r>
            <w:r w:rsidRPr="006257A7">
              <w:rPr>
                <w:rFonts w:cs="Times New Roman"/>
                <w:b/>
                <w:szCs w:val="24"/>
              </w:rPr>
              <w:tab/>
            </w:r>
          </w:p>
        </w:tc>
      </w:tr>
      <w:tr w:rsidR="009F720F" w:rsidRPr="006257A7" w14:paraId="16AAB83D" w14:textId="5B2067F0" w:rsidTr="009F720F">
        <w:tc>
          <w:tcPr>
            <w:tcW w:w="1303" w:type="pct"/>
          </w:tcPr>
          <w:p w14:paraId="704A3B10" w14:textId="76E828F9" w:rsidR="009F720F" w:rsidRPr="006257A7" w:rsidRDefault="009F720F" w:rsidP="009F720F">
            <w:pPr>
              <w:rPr>
                <w:rFonts w:cs="Times New Roman"/>
                <w:b/>
                <w:szCs w:val="24"/>
                <w:lang w:bidi="en-US"/>
              </w:rPr>
            </w:pPr>
            <w:r w:rsidRPr="006257A7">
              <w:rPr>
                <w:rFonts w:cs="Times New Roman"/>
                <w:b/>
                <w:szCs w:val="24"/>
                <w:lang w:bidi="en-US"/>
              </w:rPr>
              <w:t>Special health needs (SHN)</w:t>
            </w:r>
          </w:p>
        </w:tc>
        <w:tc>
          <w:tcPr>
            <w:tcW w:w="3697" w:type="pct"/>
          </w:tcPr>
          <w:p w14:paraId="07A818BC" w14:textId="77777777" w:rsidR="009F720F" w:rsidRPr="006257A7" w:rsidRDefault="009F720F" w:rsidP="009F720F">
            <w:pPr>
              <w:spacing w:after="60"/>
              <w:rPr>
                <w:rFonts w:cs="Times New Roman"/>
                <w:szCs w:val="24"/>
              </w:rPr>
            </w:pPr>
            <w:r w:rsidRPr="006257A7">
              <w:rPr>
                <w:rFonts w:cs="Times New Roman"/>
                <w:szCs w:val="24"/>
              </w:rPr>
              <w:t xml:space="preserve">A child will be identified as having SHN if they meet any of the following 3 criteria, as reported on the EDI: </w:t>
            </w:r>
          </w:p>
          <w:p w14:paraId="14986BDE" w14:textId="7E30CDA8" w:rsidR="009F720F" w:rsidRPr="006257A7" w:rsidRDefault="009F720F" w:rsidP="009F720F">
            <w:pPr>
              <w:pStyle w:val="ListParagraph"/>
              <w:numPr>
                <w:ilvl w:val="0"/>
                <w:numId w:val="5"/>
              </w:numPr>
              <w:spacing w:after="60"/>
              <w:rPr>
                <w:rFonts w:ascii="Garamond" w:hAnsi="Garamond" w:cs="Times New Roman"/>
                <w:iCs/>
              </w:rPr>
            </w:pPr>
            <w:r w:rsidRPr="006257A7">
              <w:rPr>
                <w:rFonts w:ascii="Garamond" w:hAnsi="Garamond" w:cs="Times New Roman"/>
                <w:iCs/>
              </w:rPr>
              <w:t xml:space="preserve">School-district determined special needs </w:t>
            </w:r>
            <w:proofErr w:type="gramStart"/>
            <w:r w:rsidRPr="006257A7">
              <w:rPr>
                <w:rFonts w:ascii="Garamond" w:hAnsi="Garamond" w:cs="Times New Roman"/>
                <w:iCs/>
              </w:rPr>
              <w:t>designation;</w:t>
            </w:r>
            <w:proofErr w:type="gramEnd"/>
            <w:r w:rsidRPr="006257A7">
              <w:rPr>
                <w:rFonts w:ascii="Garamond" w:hAnsi="Garamond" w:cs="Times New Roman"/>
                <w:iCs/>
              </w:rPr>
              <w:t xml:space="preserve"> </w:t>
            </w:r>
          </w:p>
          <w:p w14:paraId="31AF5A1C" w14:textId="2A564F65" w:rsidR="009F720F" w:rsidRPr="006257A7" w:rsidRDefault="009F720F" w:rsidP="009F720F">
            <w:pPr>
              <w:pStyle w:val="ListParagraph"/>
              <w:numPr>
                <w:ilvl w:val="0"/>
                <w:numId w:val="5"/>
              </w:numPr>
              <w:spacing w:after="60"/>
              <w:rPr>
                <w:rFonts w:ascii="Garamond" w:hAnsi="Garamond" w:cs="Times New Roman"/>
                <w:iCs/>
              </w:rPr>
            </w:pPr>
            <w:r w:rsidRPr="006257A7">
              <w:rPr>
                <w:rFonts w:ascii="Garamond" w:hAnsi="Garamond" w:cs="Times New Roman"/>
                <w:iCs/>
              </w:rPr>
              <w:t>Teacher-reported functional impairment</w:t>
            </w:r>
            <w:r w:rsidR="000827EB" w:rsidRPr="006257A7">
              <w:rPr>
                <w:rFonts w:ascii="Garamond" w:hAnsi="Garamond" w:cs="Times New Roman"/>
                <w:iCs/>
              </w:rPr>
              <w:t xml:space="preserve"> (</w:t>
            </w:r>
            <w:r w:rsidR="00DD0E73" w:rsidRPr="006257A7">
              <w:rPr>
                <w:rFonts w:ascii="Garamond" w:hAnsi="Garamond" w:cs="Times New Roman"/>
                <w:iCs/>
              </w:rPr>
              <w:t>one or more of</w:t>
            </w:r>
            <w:r w:rsidR="000827EB" w:rsidRPr="006257A7">
              <w:rPr>
                <w:rFonts w:ascii="Garamond" w:hAnsi="Garamond" w:cs="Times New Roman"/>
                <w:iCs/>
              </w:rPr>
              <w:t>:</w:t>
            </w:r>
            <w:r w:rsidR="00DD0E73" w:rsidRPr="006257A7">
              <w:rPr>
                <w:rFonts w:ascii="Garamond" w:hAnsi="Garamond" w:cs="Times New Roman"/>
                <w:iCs/>
              </w:rPr>
              <w:t xml:space="preserve"> physical disability, visual impairment, hearing impairment, speech impairment, learning disability, emotional problem, behavioural problem</w:t>
            </w:r>
            <w:proofErr w:type="gramStart"/>
            <w:r w:rsidR="00DD0E73" w:rsidRPr="006257A7">
              <w:rPr>
                <w:rFonts w:ascii="Garamond" w:hAnsi="Garamond" w:cs="Times New Roman"/>
                <w:iCs/>
              </w:rPr>
              <w:t>)</w:t>
            </w:r>
            <w:r w:rsidRPr="006257A7">
              <w:rPr>
                <w:rFonts w:ascii="Garamond" w:hAnsi="Garamond" w:cs="Times New Roman"/>
                <w:iCs/>
              </w:rPr>
              <w:t>;</w:t>
            </w:r>
            <w:proofErr w:type="gramEnd"/>
            <w:r w:rsidRPr="006257A7">
              <w:rPr>
                <w:rFonts w:ascii="Garamond" w:hAnsi="Garamond" w:cs="Times New Roman"/>
                <w:iCs/>
              </w:rPr>
              <w:t xml:space="preserve"> </w:t>
            </w:r>
          </w:p>
          <w:p w14:paraId="6AC8D40A" w14:textId="2DCB45E5" w:rsidR="009F720F" w:rsidRPr="006257A7" w:rsidRDefault="009F720F" w:rsidP="0061526D">
            <w:pPr>
              <w:pStyle w:val="ListParagraph"/>
              <w:numPr>
                <w:ilvl w:val="0"/>
                <w:numId w:val="5"/>
              </w:numPr>
              <w:spacing w:after="120"/>
              <w:ind w:left="396" w:hanging="357"/>
              <w:rPr>
                <w:rFonts w:ascii="Garamond" w:hAnsi="Garamond" w:cs="Times New Roman"/>
              </w:rPr>
            </w:pPr>
            <w:r w:rsidRPr="006257A7">
              <w:rPr>
                <w:rFonts w:ascii="Garamond" w:hAnsi="Garamond" w:cs="Times New Roman"/>
                <w:iCs/>
              </w:rPr>
              <w:t>Teacher-reported need for further assessment.</w:t>
            </w:r>
          </w:p>
        </w:tc>
      </w:tr>
      <w:tr w:rsidR="009F720F" w:rsidRPr="006257A7" w14:paraId="21B13D0B" w14:textId="0BAD9155" w:rsidTr="009F720F">
        <w:tc>
          <w:tcPr>
            <w:tcW w:w="1303" w:type="pct"/>
          </w:tcPr>
          <w:p w14:paraId="2E6ACB83" w14:textId="77777777" w:rsidR="009F720F" w:rsidRPr="006257A7" w:rsidRDefault="009F720F" w:rsidP="009F720F">
            <w:pPr>
              <w:rPr>
                <w:rFonts w:cs="Times New Roman"/>
                <w:b/>
                <w:szCs w:val="24"/>
              </w:rPr>
            </w:pPr>
            <w:r w:rsidRPr="006257A7">
              <w:rPr>
                <w:rFonts w:cs="Times New Roman"/>
                <w:b/>
                <w:szCs w:val="24"/>
              </w:rPr>
              <w:t>Child development in kindergarten</w:t>
            </w:r>
          </w:p>
        </w:tc>
        <w:tc>
          <w:tcPr>
            <w:tcW w:w="3697" w:type="pct"/>
          </w:tcPr>
          <w:p w14:paraId="520E21C7" w14:textId="6077958A" w:rsidR="009F720F" w:rsidRPr="006257A7" w:rsidRDefault="009F720F" w:rsidP="009F720F">
            <w:pPr>
              <w:spacing w:after="120"/>
              <w:rPr>
                <w:rFonts w:cs="Times New Roman"/>
                <w:szCs w:val="24"/>
              </w:rPr>
            </w:pPr>
            <w:r w:rsidRPr="006257A7">
              <w:rPr>
                <w:rFonts w:cs="Times New Roman"/>
                <w:szCs w:val="24"/>
                <w:lang w:bidi="en-US"/>
              </w:rPr>
              <w:t xml:space="preserve">Child development </w:t>
            </w:r>
            <w:r w:rsidRPr="006257A7">
              <w:rPr>
                <w:rFonts w:cs="Times New Roman"/>
                <w:szCs w:val="24"/>
              </w:rPr>
              <w:t>will be assessed through scores on 5 developmental domains on the EDI</w:t>
            </w:r>
            <w:r w:rsidR="007239C0">
              <w:rPr>
                <w:rFonts w:cs="Times New Roman"/>
                <w:szCs w:val="24"/>
              </w:rPr>
              <w:t xml:space="preserve">: </w:t>
            </w:r>
            <w:r w:rsidRPr="006257A7">
              <w:rPr>
                <w:rFonts w:cs="Times New Roman"/>
                <w:szCs w:val="24"/>
                <w:lang w:val="en-US"/>
              </w:rPr>
              <w:t>physical health and well-being, social competence, emotional maturity, language and cognitive development, and communication skills and general knowledge.</w:t>
            </w:r>
          </w:p>
        </w:tc>
      </w:tr>
      <w:tr w:rsidR="009F720F" w:rsidRPr="006257A7" w14:paraId="3688A182" w14:textId="37B3A496" w:rsidTr="009F720F">
        <w:tc>
          <w:tcPr>
            <w:tcW w:w="1303" w:type="pct"/>
          </w:tcPr>
          <w:p w14:paraId="6830509F" w14:textId="77777777" w:rsidR="009F720F" w:rsidRPr="006257A7" w:rsidRDefault="009F720F" w:rsidP="009F720F">
            <w:pPr>
              <w:rPr>
                <w:rFonts w:cs="Times New Roman"/>
                <w:b/>
                <w:szCs w:val="24"/>
              </w:rPr>
            </w:pPr>
            <w:r w:rsidRPr="006257A7">
              <w:rPr>
                <w:rFonts w:cs="Times New Roman"/>
                <w:b/>
                <w:szCs w:val="24"/>
              </w:rPr>
              <w:t>Mental disorder</w:t>
            </w:r>
          </w:p>
          <w:p w14:paraId="2BAEADAF" w14:textId="74798FBF" w:rsidR="004E197D" w:rsidRPr="006257A7" w:rsidRDefault="004E197D" w:rsidP="004E197D">
            <w:pPr>
              <w:rPr>
                <w:rFonts w:cs="Times New Roman"/>
                <w:bCs/>
                <w:szCs w:val="24"/>
              </w:rPr>
            </w:pPr>
            <w:r w:rsidRPr="006257A7">
              <w:rPr>
                <w:rFonts w:cs="Times New Roman"/>
                <w:bCs/>
                <w:szCs w:val="24"/>
              </w:rPr>
              <w:t>(</w:t>
            </w:r>
            <w:proofErr w:type="gramStart"/>
            <w:r w:rsidRPr="006257A7">
              <w:rPr>
                <w:rFonts w:cs="Times New Roman"/>
                <w:bCs/>
                <w:szCs w:val="24"/>
              </w:rPr>
              <w:t>note:</w:t>
            </w:r>
            <w:proofErr w:type="gramEnd"/>
            <w:r w:rsidRPr="006257A7">
              <w:rPr>
                <w:rFonts w:cs="Times New Roman"/>
                <w:bCs/>
                <w:szCs w:val="24"/>
              </w:rPr>
              <w:t xml:space="preserve"> </w:t>
            </w:r>
            <w:r w:rsidRPr="006257A7">
              <w:rPr>
                <w:rFonts w:eastAsiaTheme="minorHAnsi"/>
                <w:bCs/>
                <w:color w:val="1F497D"/>
              </w:rPr>
              <w:t xml:space="preserve"> </w:t>
            </w:r>
            <w:r w:rsidRPr="006257A7">
              <w:rPr>
                <w:rFonts w:cs="Times New Roman"/>
                <w:bCs/>
                <w:szCs w:val="24"/>
              </w:rPr>
              <w:t xml:space="preserve">prior to </w:t>
            </w:r>
            <w:r w:rsidR="00560941" w:rsidRPr="006257A7">
              <w:rPr>
                <w:rFonts w:cs="Times New Roman"/>
                <w:bCs/>
                <w:szCs w:val="24"/>
              </w:rPr>
              <w:t>ICD</w:t>
            </w:r>
            <w:r w:rsidR="00857C36" w:rsidRPr="006257A7">
              <w:rPr>
                <w:rFonts w:cs="Times New Roman"/>
                <w:bCs/>
                <w:szCs w:val="24"/>
              </w:rPr>
              <w:t>-</w:t>
            </w:r>
            <w:r w:rsidR="00560941" w:rsidRPr="006257A7">
              <w:rPr>
                <w:rFonts w:cs="Times New Roman"/>
                <w:bCs/>
                <w:szCs w:val="24"/>
              </w:rPr>
              <w:t>10</w:t>
            </w:r>
            <w:r w:rsidRPr="006257A7">
              <w:rPr>
                <w:rFonts w:cs="Times New Roman"/>
                <w:bCs/>
                <w:szCs w:val="24"/>
              </w:rPr>
              <w:t>, DSM codes translated directly to ICD codes)</w:t>
            </w:r>
          </w:p>
          <w:p w14:paraId="277F931C" w14:textId="6749EF8F" w:rsidR="004E197D" w:rsidRPr="006257A7" w:rsidRDefault="004E197D" w:rsidP="009F720F">
            <w:pPr>
              <w:rPr>
                <w:rFonts w:cs="Times New Roman"/>
                <w:b/>
                <w:szCs w:val="24"/>
              </w:rPr>
            </w:pPr>
          </w:p>
        </w:tc>
        <w:tc>
          <w:tcPr>
            <w:tcW w:w="3697" w:type="pct"/>
          </w:tcPr>
          <w:p w14:paraId="173B4EC9" w14:textId="7346C116" w:rsidR="005B0E7D" w:rsidRPr="00154B12" w:rsidRDefault="005B0E7D" w:rsidP="009F720F">
            <w:pPr>
              <w:rPr>
                <w:rFonts w:cs="Times New Roman"/>
                <w:szCs w:val="24"/>
              </w:rPr>
            </w:pPr>
            <w:r w:rsidRPr="00154B12">
              <w:rPr>
                <w:rFonts w:cs="Times New Roman"/>
                <w:szCs w:val="24"/>
              </w:rPr>
              <w:t>Any</w:t>
            </w:r>
            <w:r w:rsidR="00154B12" w:rsidRPr="00154B12">
              <w:rPr>
                <w:rFonts w:cs="Times New Roman"/>
                <w:szCs w:val="24"/>
              </w:rPr>
              <w:t xml:space="preserve"> mental disorder</w:t>
            </w:r>
            <w:r w:rsidRPr="00154B12">
              <w:rPr>
                <w:rFonts w:cs="Times New Roman"/>
                <w:szCs w:val="24"/>
              </w:rPr>
              <w:t>:</w:t>
            </w:r>
          </w:p>
          <w:p w14:paraId="418CB243" w14:textId="38C6AE1E" w:rsidR="00154B12" w:rsidRPr="00154B12" w:rsidRDefault="00154B12" w:rsidP="00154B12">
            <w:pPr>
              <w:pStyle w:val="ListParagraph"/>
              <w:numPr>
                <w:ilvl w:val="0"/>
                <w:numId w:val="15"/>
              </w:numPr>
              <w:rPr>
                <w:rFonts w:ascii="Garamond" w:hAnsi="Garamond" w:cs="Times New Roman"/>
              </w:rPr>
            </w:pPr>
            <w:r w:rsidRPr="00154B12">
              <w:rPr>
                <w:rFonts w:ascii="Garamond" w:hAnsi="Garamond" w:cs="Times New Roman"/>
              </w:rPr>
              <w:t>One or more hospitalizations with a diagnosis for any mental disorder, encompassing codes ICD-9 290-319 and ICD-10 F01-F99</w:t>
            </w:r>
          </w:p>
          <w:p w14:paraId="2A945C94" w14:textId="72FCCA85" w:rsidR="00154B12" w:rsidRPr="00154B12" w:rsidRDefault="00154B12" w:rsidP="00154B12">
            <w:pPr>
              <w:pStyle w:val="ListParagraph"/>
              <w:numPr>
                <w:ilvl w:val="0"/>
                <w:numId w:val="15"/>
              </w:numPr>
              <w:rPr>
                <w:rFonts w:ascii="Garamond" w:hAnsi="Garamond" w:cs="Times New Roman"/>
              </w:rPr>
            </w:pPr>
            <w:r w:rsidRPr="00154B12">
              <w:rPr>
                <w:rFonts w:ascii="Garamond" w:hAnsi="Garamond" w:cs="Times New Roman"/>
              </w:rPr>
              <w:t>Two or more physician visits</w:t>
            </w:r>
            <w:r>
              <w:rPr>
                <w:rFonts w:ascii="Garamond" w:hAnsi="Garamond" w:cs="Times New Roman"/>
              </w:rPr>
              <w:t xml:space="preserve"> </w:t>
            </w:r>
            <w:r w:rsidRPr="00154B12">
              <w:rPr>
                <w:rFonts w:ascii="Garamond" w:hAnsi="Garamond" w:cs="Times New Roman"/>
              </w:rPr>
              <w:t>with a diagnosis for any mental disorder, encompassing codes ICD-9 290-319 and ICD-10 F01-F99</w:t>
            </w:r>
          </w:p>
          <w:p w14:paraId="108CB8F2" w14:textId="2DC85425" w:rsidR="005B0E7D" w:rsidRPr="00154B12" w:rsidRDefault="00154B12" w:rsidP="00154B12">
            <w:pPr>
              <w:pStyle w:val="ListParagraph"/>
              <w:numPr>
                <w:ilvl w:val="0"/>
                <w:numId w:val="15"/>
              </w:numPr>
              <w:rPr>
                <w:rFonts w:ascii="Garamond" w:hAnsi="Garamond" w:cs="Times New Roman"/>
              </w:rPr>
            </w:pPr>
            <w:r w:rsidRPr="006257A7">
              <w:rPr>
                <w:rFonts w:ascii="Garamond" w:hAnsi="Garamond" w:cs="Times New Roman"/>
              </w:rPr>
              <w:t>Corresponding DSM descriptions or diagnoses</w:t>
            </w:r>
            <w:r>
              <w:rPr>
                <w:rFonts w:ascii="Garamond" w:hAnsi="Garamond" w:cs="Times New Roman"/>
              </w:rPr>
              <w:t xml:space="preserve"> of any mental health disorder</w:t>
            </w:r>
          </w:p>
          <w:p w14:paraId="643B50EB" w14:textId="594A402C" w:rsidR="009F720F" w:rsidRPr="006257A7" w:rsidRDefault="009F720F" w:rsidP="009F720F">
            <w:pPr>
              <w:rPr>
                <w:rFonts w:cs="Times New Roman"/>
                <w:szCs w:val="24"/>
              </w:rPr>
            </w:pPr>
            <w:r w:rsidRPr="006257A7">
              <w:rPr>
                <w:rFonts w:cs="Times New Roman"/>
                <w:szCs w:val="24"/>
              </w:rPr>
              <w:t xml:space="preserve">Depression: </w:t>
            </w:r>
          </w:p>
          <w:p w14:paraId="529C269B" w14:textId="3FF5648C" w:rsidR="009F720F" w:rsidRPr="006257A7" w:rsidRDefault="009F720F" w:rsidP="009F720F">
            <w:pPr>
              <w:pStyle w:val="ListParagraph"/>
              <w:numPr>
                <w:ilvl w:val="0"/>
                <w:numId w:val="1"/>
              </w:numPr>
              <w:rPr>
                <w:rFonts w:ascii="Garamond" w:hAnsi="Garamond" w:cs="Times New Roman"/>
              </w:rPr>
            </w:pPr>
            <w:r w:rsidRPr="006257A7">
              <w:rPr>
                <w:rFonts w:ascii="Garamond" w:hAnsi="Garamond" w:cs="Times New Roman"/>
              </w:rPr>
              <w:t xml:space="preserve">One or more hospitalizations with a diagnosis for </w:t>
            </w:r>
            <w:r w:rsidR="00653550" w:rsidRPr="006257A7">
              <w:rPr>
                <w:rFonts w:ascii="Garamond" w:hAnsi="Garamond" w:cs="Times New Roman"/>
              </w:rPr>
              <w:t xml:space="preserve">mood or </w:t>
            </w:r>
            <w:r w:rsidRPr="006257A7">
              <w:rPr>
                <w:rFonts w:ascii="Garamond" w:hAnsi="Garamond" w:cs="Times New Roman"/>
              </w:rPr>
              <w:t xml:space="preserve">depressive disorder, affective psychoses, </w:t>
            </w:r>
            <w:r w:rsidR="00511A62" w:rsidRPr="006257A7">
              <w:rPr>
                <w:rFonts w:ascii="Garamond" w:hAnsi="Garamond" w:cs="Times New Roman"/>
              </w:rPr>
              <w:t>neurotic depression</w:t>
            </w:r>
            <w:r w:rsidRPr="006257A7">
              <w:rPr>
                <w:rFonts w:ascii="Garamond" w:hAnsi="Garamond" w:cs="Times New Roman"/>
              </w:rPr>
              <w:t xml:space="preserve">, </w:t>
            </w:r>
            <w:r w:rsidR="00411817" w:rsidRPr="006257A7">
              <w:rPr>
                <w:rFonts w:ascii="Garamond" w:hAnsi="Garamond" w:cs="Times New Roman"/>
              </w:rPr>
              <w:t xml:space="preserve">or </w:t>
            </w:r>
            <w:r w:rsidRPr="006257A7">
              <w:rPr>
                <w:rFonts w:ascii="Garamond" w:hAnsi="Garamond" w:cs="Times New Roman"/>
              </w:rPr>
              <w:t>bipolar disorder: ICD-9-CM</w:t>
            </w:r>
            <w:r w:rsidR="00560941" w:rsidRPr="006257A7">
              <w:rPr>
                <w:rFonts w:ascii="Garamond" w:hAnsi="Garamond" w:cs="Times New Roman"/>
              </w:rPr>
              <w:t>/DSM</w:t>
            </w:r>
            <w:r w:rsidRPr="006257A7">
              <w:rPr>
                <w:rFonts w:ascii="Garamond" w:hAnsi="Garamond" w:cs="Times New Roman"/>
              </w:rPr>
              <w:t xml:space="preserve"> codes 296, 311 or ICD-10-CA codes F30, F31, F32, F33, F34, F38, F53.0; OR</w:t>
            </w:r>
          </w:p>
          <w:p w14:paraId="4B81DCFA" w14:textId="00F7B406" w:rsidR="009F720F" w:rsidRPr="006257A7" w:rsidRDefault="009F720F" w:rsidP="004E197D">
            <w:pPr>
              <w:pStyle w:val="ListParagraph"/>
              <w:numPr>
                <w:ilvl w:val="0"/>
                <w:numId w:val="1"/>
              </w:numPr>
              <w:ind w:left="357" w:hanging="357"/>
              <w:rPr>
                <w:rFonts w:ascii="Garamond" w:hAnsi="Garamond" w:cs="Times New Roman"/>
              </w:rPr>
            </w:pPr>
            <w:r w:rsidRPr="006257A7">
              <w:rPr>
                <w:rFonts w:ascii="Garamond" w:hAnsi="Garamond" w:cs="Times New Roman"/>
              </w:rPr>
              <w:t>Two or more physician visits with a diagnosis for depressive disorder or affective psychoses, adjustment reaction): ICD-9-CM</w:t>
            </w:r>
            <w:r w:rsidR="00857C36" w:rsidRPr="006257A7">
              <w:rPr>
                <w:rFonts w:ascii="Garamond" w:hAnsi="Garamond" w:cs="Times New Roman"/>
              </w:rPr>
              <w:t>/DSM</w:t>
            </w:r>
            <w:r w:rsidRPr="006257A7">
              <w:rPr>
                <w:rFonts w:ascii="Garamond" w:hAnsi="Garamond" w:cs="Times New Roman"/>
              </w:rPr>
              <w:t xml:space="preserve"> codes 296, 311.</w:t>
            </w:r>
          </w:p>
          <w:p w14:paraId="0E77E64C" w14:textId="4CA1888E" w:rsidR="00B90FDE" w:rsidRPr="006257A7" w:rsidRDefault="005D29A3" w:rsidP="009F720F">
            <w:pPr>
              <w:pStyle w:val="ListParagraph"/>
              <w:numPr>
                <w:ilvl w:val="0"/>
                <w:numId w:val="1"/>
              </w:numPr>
              <w:spacing w:after="120"/>
              <w:ind w:left="357" w:hanging="357"/>
              <w:rPr>
                <w:rFonts w:ascii="Garamond" w:hAnsi="Garamond" w:cs="Times New Roman"/>
              </w:rPr>
            </w:pPr>
            <w:r w:rsidRPr="006257A7">
              <w:rPr>
                <w:rFonts w:ascii="Garamond" w:hAnsi="Garamond" w:cs="Times New Roman"/>
              </w:rPr>
              <w:t xml:space="preserve">Corresponding </w:t>
            </w:r>
            <w:r w:rsidR="00B90FDE" w:rsidRPr="006257A7">
              <w:rPr>
                <w:rFonts w:ascii="Garamond" w:hAnsi="Garamond" w:cs="Times New Roman"/>
              </w:rPr>
              <w:t xml:space="preserve">DSM </w:t>
            </w:r>
            <w:r w:rsidR="00C22693" w:rsidRPr="006257A7">
              <w:rPr>
                <w:rFonts w:ascii="Garamond" w:hAnsi="Garamond" w:cs="Times New Roman"/>
              </w:rPr>
              <w:t>descriptions or diagnoses</w:t>
            </w:r>
            <w:r w:rsidR="00B90FDE" w:rsidRPr="006257A7">
              <w:rPr>
                <w:rFonts w:ascii="Garamond" w:hAnsi="Garamond" w:cs="Times New Roman"/>
              </w:rPr>
              <w:t>:</w:t>
            </w:r>
            <w:r w:rsidR="00C22693" w:rsidRPr="006257A7">
              <w:rPr>
                <w:rFonts w:ascii="Garamond" w:hAnsi="Garamond" w:cs="Times New Roman"/>
              </w:rPr>
              <w:t xml:space="preserve"> </w:t>
            </w:r>
            <w:r w:rsidR="00C22693" w:rsidRPr="006257A7">
              <w:rPr>
                <w:rFonts w:ascii="Garamond" w:eastAsiaTheme="minorHAnsi" w:hAnsi="Garamond" w:cs="Times New Roman"/>
              </w:rPr>
              <w:t xml:space="preserve">Major depressive disorder, persistent depressive disorder (dysthymia), cyclothymic </w:t>
            </w:r>
            <w:proofErr w:type="gramStart"/>
            <w:r w:rsidR="00C22693" w:rsidRPr="006257A7">
              <w:rPr>
                <w:rFonts w:ascii="Garamond" w:eastAsiaTheme="minorHAnsi" w:hAnsi="Garamond" w:cs="Times New Roman"/>
              </w:rPr>
              <w:t>disorder,  disruptive</w:t>
            </w:r>
            <w:proofErr w:type="gramEnd"/>
            <w:r w:rsidR="00C22693" w:rsidRPr="006257A7">
              <w:rPr>
                <w:rFonts w:ascii="Garamond" w:eastAsiaTheme="minorHAnsi" w:hAnsi="Garamond" w:cs="Times New Roman"/>
              </w:rPr>
              <w:t xml:space="preserve"> mood dysregulation disorder, bipolar I disorder, bipolar II disorder, other specified depressive disorder </w:t>
            </w:r>
          </w:p>
          <w:p w14:paraId="63562B47" w14:textId="73BD22DF" w:rsidR="00411817" w:rsidRPr="006257A7" w:rsidRDefault="00411817" w:rsidP="00302FC6">
            <w:pPr>
              <w:rPr>
                <w:rFonts w:cs="Times New Roman"/>
              </w:rPr>
            </w:pPr>
            <w:r w:rsidRPr="006257A7">
              <w:rPr>
                <w:rFonts w:cs="Times New Roman"/>
              </w:rPr>
              <w:t>Anxiety</w:t>
            </w:r>
            <w:r w:rsidR="00302FC6" w:rsidRPr="006257A7">
              <w:rPr>
                <w:rFonts w:cs="Times New Roman"/>
              </w:rPr>
              <w:t>:</w:t>
            </w:r>
            <w:r w:rsidRPr="006257A7">
              <w:rPr>
                <w:rFonts w:cs="Times New Roman"/>
              </w:rPr>
              <w:t xml:space="preserve"> </w:t>
            </w:r>
          </w:p>
          <w:p w14:paraId="53A9F9AA" w14:textId="1CB28CF4" w:rsidR="00302FC6" w:rsidRPr="006257A7" w:rsidRDefault="00411817" w:rsidP="00302FC6">
            <w:pPr>
              <w:pStyle w:val="ListParagraph"/>
              <w:numPr>
                <w:ilvl w:val="0"/>
                <w:numId w:val="9"/>
              </w:numPr>
              <w:ind w:left="396"/>
              <w:rPr>
                <w:rFonts w:ascii="Garamond" w:hAnsi="Garamond" w:cs="Times New Roman"/>
              </w:rPr>
            </w:pPr>
            <w:r w:rsidRPr="006257A7">
              <w:rPr>
                <w:rFonts w:ascii="Garamond" w:hAnsi="Garamond" w:cs="Times New Roman"/>
              </w:rPr>
              <w:t>One or more hospitalizations with a diagnosis for an anxiety state, adjustment reaction, phobic disorders or obsessive-compulsive disorders: ICD-9-CM</w:t>
            </w:r>
            <w:r w:rsidR="0096581D" w:rsidRPr="006257A7">
              <w:rPr>
                <w:rFonts w:ascii="Garamond" w:hAnsi="Garamond" w:cs="Times New Roman"/>
              </w:rPr>
              <w:t>/DSM</w:t>
            </w:r>
            <w:r w:rsidRPr="006257A7">
              <w:rPr>
                <w:rFonts w:ascii="Garamond" w:hAnsi="Garamond" w:cs="Times New Roman"/>
              </w:rPr>
              <w:t xml:space="preserve"> code 300, 309 or ICD-10-CA codes:  F40, F41.0, F41.1, F41.2, F41.3, F41.8, F41.9, F42, F43; OR</w:t>
            </w:r>
          </w:p>
          <w:p w14:paraId="19E6C355" w14:textId="441F21CE" w:rsidR="00411817" w:rsidRPr="006257A7" w:rsidRDefault="00411817" w:rsidP="00302FC6">
            <w:pPr>
              <w:pStyle w:val="ListParagraph"/>
              <w:numPr>
                <w:ilvl w:val="0"/>
                <w:numId w:val="9"/>
              </w:numPr>
              <w:ind w:left="396"/>
              <w:rPr>
                <w:rFonts w:ascii="Garamond" w:hAnsi="Garamond" w:cs="Times New Roman"/>
              </w:rPr>
            </w:pPr>
            <w:r w:rsidRPr="006257A7">
              <w:rPr>
                <w:rFonts w:ascii="Garamond" w:hAnsi="Garamond" w:cs="Times New Roman"/>
              </w:rPr>
              <w:lastRenderedPageBreak/>
              <w:t>Two or more physician visits with a diagnosis for anxiety disorders (including dissociative and somatoform disorders): ICD-9-CM</w:t>
            </w:r>
            <w:r w:rsidR="00653550" w:rsidRPr="006257A7">
              <w:rPr>
                <w:rFonts w:ascii="Garamond" w:hAnsi="Garamond" w:cs="Times New Roman"/>
              </w:rPr>
              <w:t>/DSM</w:t>
            </w:r>
            <w:r w:rsidRPr="006257A7">
              <w:rPr>
                <w:rFonts w:ascii="Garamond" w:hAnsi="Garamond" w:cs="Times New Roman"/>
              </w:rPr>
              <w:t xml:space="preserve"> codes: 300</w:t>
            </w:r>
            <w:r w:rsidR="004E57BA" w:rsidRPr="006257A7">
              <w:rPr>
                <w:rFonts w:ascii="Garamond" w:hAnsi="Garamond" w:cs="Times New Roman"/>
              </w:rPr>
              <w:t>, 309.</w:t>
            </w:r>
          </w:p>
          <w:p w14:paraId="0A930C8B" w14:textId="768C9B34" w:rsidR="00B90FDE" w:rsidRPr="006257A7" w:rsidRDefault="005D29A3" w:rsidP="004E197D">
            <w:pPr>
              <w:pStyle w:val="ListParagraph"/>
              <w:numPr>
                <w:ilvl w:val="0"/>
                <w:numId w:val="9"/>
              </w:numPr>
              <w:spacing w:after="120"/>
              <w:ind w:left="391" w:hanging="357"/>
              <w:rPr>
                <w:rFonts w:ascii="Garamond" w:hAnsi="Garamond" w:cs="Times New Roman"/>
              </w:rPr>
            </w:pPr>
            <w:r w:rsidRPr="006257A7">
              <w:rPr>
                <w:rFonts w:ascii="Garamond" w:hAnsi="Garamond" w:cs="Times New Roman"/>
              </w:rPr>
              <w:t xml:space="preserve">Corresponding </w:t>
            </w:r>
            <w:r w:rsidR="00B90FDE" w:rsidRPr="006257A7">
              <w:rPr>
                <w:rFonts w:ascii="Garamond" w:hAnsi="Garamond" w:cs="Times New Roman"/>
              </w:rPr>
              <w:t>DSM</w:t>
            </w:r>
            <w:r w:rsidR="00653550" w:rsidRPr="006257A7">
              <w:rPr>
                <w:rFonts w:ascii="Garamond" w:hAnsi="Garamond" w:cs="Times New Roman"/>
              </w:rPr>
              <w:t xml:space="preserve"> </w:t>
            </w:r>
            <w:r w:rsidR="00C22693" w:rsidRPr="006257A7">
              <w:rPr>
                <w:rFonts w:ascii="Garamond" w:hAnsi="Garamond" w:cs="Times New Roman"/>
              </w:rPr>
              <w:t>descriptions or diagnoses</w:t>
            </w:r>
            <w:r w:rsidR="00B90FDE" w:rsidRPr="006257A7">
              <w:rPr>
                <w:rFonts w:ascii="Garamond" w:hAnsi="Garamond" w:cs="Times New Roman"/>
              </w:rPr>
              <w:t>:</w:t>
            </w:r>
            <w:r w:rsidR="008A7D46" w:rsidRPr="006257A7">
              <w:rPr>
                <w:rFonts w:ascii="Garamond" w:hAnsi="Garamond" w:cs="Times New Roman"/>
              </w:rPr>
              <w:t xml:space="preserve"> </w:t>
            </w:r>
            <w:r w:rsidR="008A7D46" w:rsidRPr="006257A7">
              <w:rPr>
                <w:rFonts w:ascii="Garamond" w:eastAsiaTheme="minorHAnsi" w:hAnsi="Garamond" w:cs="Times New Roman"/>
              </w:rPr>
              <w:t>Generalized anxiety disorder</w:t>
            </w:r>
            <w:r w:rsidR="008A7D46" w:rsidRPr="006257A7">
              <w:rPr>
                <w:rFonts w:ascii="Garamond" w:hAnsi="Garamond" w:cs="Times New Roman"/>
              </w:rPr>
              <w:t xml:space="preserve">, </w:t>
            </w:r>
            <w:r w:rsidR="005B72E4" w:rsidRPr="006257A7">
              <w:rPr>
                <w:rFonts w:ascii="Garamond" w:hAnsi="Garamond" w:cs="Times New Roman"/>
              </w:rPr>
              <w:t xml:space="preserve">acute stress disorder, </w:t>
            </w:r>
            <w:r w:rsidR="008A7D46" w:rsidRPr="006257A7">
              <w:rPr>
                <w:rFonts w:ascii="Garamond" w:hAnsi="Garamond" w:cs="Times New Roman"/>
              </w:rPr>
              <w:t xml:space="preserve">panic disorder, persistent depressive disorder (dysthymia), </w:t>
            </w:r>
            <w:r w:rsidR="005B72E4" w:rsidRPr="006257A7">
              <w:rPr>
                <w:rFonts w:ascii="Garamond" w:eastAsiaTheme="minorHAnsi" w:hAnsi="Garamond" w:cs="Times New Roman"/>
              </w:rPr>
              <w:t>adjustment disorder,</w:t>
            </w:r>
            <w:r w:rsidR="005B72E4" w:rsidRPr="006257A7">
              <w:rPr>
                <w:rFonts w:ascii="Garamond" w:hAnsi="Garamond" w:cs="Times New Roman"/>
              </w:rPr>
              <w:t xml:space="preserve"> </w:t>
            </w:r>
            <w:r w:rsidR="005B72E4" w:rsidRPr="006257A7">
              <w:rPr>
                <w:rFonts w:ascii="Garamond" w:eastAsiaTheme="minorHAnsi" w:hAnsi="Garamond" w:cs="Times New Roman"/>
              </w:rPr>
              <w:t xml:space="preserve">posttraumatic stress disorder, separation anxiety disorder, other specified/unspecified trauma- and stressor-related disorders, </w:t>
            </w:r>
            <w:r w:rsidR="008A7D46" w:rsidRPr="006257A7">
              <w:rPr>
                <w:rFonts w:ascii="Garamond" w:hAnsi="Garamond" w:cs="Times New Roman"/>
              </w:rPr>
              <w:t xml:space="preserve">body dysmorphic disorder, </w:t>
            </w:r>
            <w:r w:rsidR="008A7D46" w:rsidRPr="006257A7">
              <w:rPr>
                <w:rFonts w:ascii="Garamond" w:eastAsiaTheme="minorHAnsi" w:hAnsi="Garamond" w:cs="Times New Roman"/>
              </w:rPr>
              <w:t xml:space="preserve">conversion disorder (functional neurological symptom disorder), </w:t>
            </w:r>
            <w:r w:rsidR="005B72E4" w:rsidRPr="006257A7">
              <w:rPr>
                <w:rFonts w:ascii="Garamond" w:hAnsi="Garamond" w:cs="Times New Roman"/>
              </w:rPr>
              <w:t>somatic symptom disorder, other specified/unspecified somatic symptom and related disorders,</w:t>
            </w:r>
            <w:r w:rsidR="005B72E4" w:rsidRPr="006257A7">
              <w:rPr>
                <w:rFonts w:ascii="Garamond" w:eastAsiaTheme="minorHAnsi" w:hAnsi="Garamond" w:cs="Times New Roman"/>
              </w:rPr>
              <w:t xml:space="preserve"> </w:t>
            </w:r>
            <w:r w:rsidR="008A7D46" w:rsidRPr="006257A7">
              <w:rPr>
                <w:rFonts w:ascii="Garamond" w:eastAsiaTheme="minorHAnsi" w:hAnsi="Garamond" w:cs="Times New Roman"/>
              </w:rPr>
              <w:t xml:space="preserve">depersonalization/derealization disorder, dissociative amnesia, dissociative identity disorder, </w:t>
            </w:r>
            <w:r w:rsidR="008A7D46" w:rsidRPr="006257A7">
              <w:rPr>
                <w:rFonts w:ascii="Garamond" w:hAnsi="Garamond" w:cs="Times New Roman"/>
              </w:rPr>
              <w:t>other specified/unspecified dissociative disorders,</w:t>
            </w:r>
            <w:r w:rsidR="008A7D46" w:rsidRPr="006257A7">
              <w:rPr>
                <w:rFonts w:ascii="Garamond" w:eastAsiaTheme="minorHAnsi" w:hAnsi="Garamond" w:cs="Times New Roman"/>
              </w:rPr>
              <w:t xml:space="preserve"> factitious disorder, illness anxiety disorder, </w:t>
            </w:r>
            <w:r w:rsidR="008A7D46" w:rsidRPr="006257A7">
              <w:rPr>
                <w:rFonts w:ascii="Garamond" w:hAnsi="Garamond" w:cs="Times New Roman"/>
              </w:rPr>
              <w:t xml:space="preserve">social anxiety disorder (social phobia), other specified/unspecified anxiety disorders, agoraphobia, other specific phobias, </w:t>
            </w:r>
            <w:r w:rsidR="008A7D46" w:rsidRPr="006257A7">
              <w:rPr>
                <w:rFonts w:ascii="Garamond" w:eastAsiaTheme="minorHAnsi" w:hAnsi="Garamond" w:cs="Times New Roman"/>
              </w:rPr>
              <w:t xml:space="preserve">hoarding disorder, </w:t>
            </w:r>
            <w:r w:rsidR="008A7D46" w:rsidRPr="006257A7">
              <w:rPr>
                <w:rFonts w:ascii="Garamond" w:hAnsi="Garamond" w:cs="Times New Roman"/>
              </w:rPr>
              <w:t>o</w:t>
            </w:r>
            <w:r w:rsidR="00C22693" w:rsidRPr="006257A7">
              <w:rPr>
                <w:rFonts w:ascii="Garamond" w:hAnsi="Garamond" w:cs="Times New Roman"/>
              </w:rPr>
              <w:t>bsessive-compulsive disorder, other specified</w:t>
            </w:r>
            <w:r w:rsidR="008A7D46" w:rsidRPr="006257A7">
              <w:rPr>
                <w:rFonts w:ascii="Garamond" w:hAnsi="Garamond" w:cs="Times New Roman"/>
              </w:rPr>
              <w:t>/unspecified</w:t>
            </w:r>
            <w:r w:rsidR="00C22693" w:rsidRPr="006257A7">
              <w:rPr>
                <w:rFonts w:ascii="Garamond" w:hAnsi="Garamond" w:cs="Times New Roman"/>
              </w:rPr>
              <w:t xml:space="preserve"> obsessive-compulsive and related disorder</w:t>
            </w:r>
            <w:r w:rsidR="008A7D46" w:rsidRPr="006257A7">
              <w:rPr>
                <w:rFonts w:ascii="Garamond" w:hAnsi="Garamond" w:cs="Times New Roman"/>
              </w:rPr>
              <w:t>s</w:t>
            </w:r>
            <w:r w:rsidR="00C22693" w:rsidRPr="006257A7">
              <w:rPr>
                <w:rFonts w:ascii="Garamond" w:hAnsi="Garamond" w:cs="Times New Roman"/>
              </w:rPr>
              <w:t xml:space="preserve">, </w:t>
            </w:r>
            <w:r w:rsidR="008A7D46" w:rsidRPr="006257A7">
              <w:rPr>
                <w:rFonts w:ascii="Garamond" w:hAnsi="Garamond" w:cs="Times New Roman"/>
              </w:rPr>
              <w:t xml:space="preserve">other specified/unspecified </w:t>
            </w:r>
            <w:r w:rsidR="00C22693" w:rsidRPr="006257A7">
              <w:rPr>
                <w:rFonts w:ascii="Garamond" w:hAnsi="Garamond" w:cs="Times New Roman"/>
              </w:rPr>
              <w:t>mental disorder</w:t>
            </w:r>
            <w:r w:rsidR="005B72E4" w:rsidRPr="006257A7">
              <w:rPr>
                <w:rFonts w:ascii="Garamond" w:hAnsi="Garamond" w:cs="Times New Roman"/>
              </w:rPr>
              <w:t>s</w:t>
            </w:r>
          </w:p>
          <w:p w14:paraId="50074666" w14:textId="77777777" w:rsidR="009F720F" w:rsidRPr="006257A7" w:rsidRDefault="009F720F" w:rsidP="00302FC6">
            <w:pPr>
              <w:spacing w:before="120"/>
              <w:rPr>
                <w:rFonts w:cs="Times New Roman"/>
                <w:szCs w:val="24"/>
              </w:rPr>
            </w:pPr>
            <w:r w:rsidRPr="006257A7">
              <w:rPr>
                <w:rFonts w:cs="Times New Roman"/>
                <w:szCs w:val="24"/>
              </w:rPr>
              <w:t>ADHD:</w:t>
            </w:r>
          </w:p>
          <w:p w14:paraId="4224A041" w14:textId="5A34035B" w:rsidR="009F720F" w:rsidRPr="006257A7" w:rsidRDefault="009F720F" w:rsidP="009F720F">
            <w:pPr>
              <w:pStyle w:val="ListParagraph"/>
              <w:numPr>
                <w:ilvl w:val="0"/>
                <w:numId w:val="2"/>
              </w:numPr>
              <w:ind w:left="321"/>
              <w:rPr>
                <w:rFonts w:ascii="Garamond" w:eastAsiaTheme="minorHAnsi" w:hAnsi="Garamond" w:cs="Times New Roman"/>
              </w:rPr>
            </w:pPr>
            <w:r w:rsidRPr="006257A7">
              <w:rPr>
                <w:rFonts w:ascii="Garamond" w:hAnsi="Garamond" w:cs="Times New Roman"/>
              </w:rPr>
              <w:t>1+ hospitalizations with diagnosis of hyperkinetic syndrome (ICD</w:t>
            </w:r>
            <w:r w:rsidRPr="006257A7">
              <w:rPr>
                <w:rFonts w:ascii="Cambria Math" w:eastAsia="LACCNI+Calibri" w:hAnsi="Cambria Math" w:cs="Cambria Math"/>
              </w:rPr>
              <w:t>‐</w:t>
            </w:r>
            <w:r w:rsidRPr="006257A7">
              <w:rPr>
                <w:rFonts w:ascii="Garamond" w:eastAsia="LACCNI+Calibri" w:hAnsi="Garamond" w:cs="Times New Roman"/>
              </w:rPr>
              <w:t>9</w:t>
            </w:r>
            <w:r w:rsidRPr="006257A7">
              <w:rPr>
                <w:rFonts w:ascii="Cambria Math" w:eastAsia="LACCNI+Calibri" w:hAnsi="Cambria Math" w:cs="Cambria Math"/>
              </w:rPr>
              <w:t>‐</w:t>
            </w:r>
            <w:r w:rsidRPr="006257A7">
              <w:rPr>
                <w:rFonts w:ascii="Garamond" w:eastAsia="LACCNI+Calibri" w:hAnsi="Garamond" w:cs="Times New Roman"/>
              </w:rPr>
              <w:t>CM code 314 or ICD</w:t>
            </w:r>
            <w:r w:rsidRPr="006257A7">
              <w:rPr>
                <w:rFonts w:ascii="Cambria Math" w:eastAsia="LACCNI+Calibri" w:hAnsi="Cambria Math" w:cs="Cambria Math"/>
              </w:rPr>
              <w:t>‐</w:t>
            </w:r>
            <w:r w:rsidRPr="006257A7">
              <w:rPr>
                <w:rFonts w:ascii="Garamond" w:eastAsia="LACCNI+Calibri" w:hAnsi="Garamond" w:cs="Times New Roman"/>
              </w:rPr>
              <w:t>10 code F90) in one fiscal year</w:t>
            </w:r>
            <w:r w:rsidR="00CC2025" w:rsidRPr="006257A7">
              <w:rPr>
                <w:rFonts w:ascii="Garamond" w:eastAsia="LACCNI+Calibri" w:hAnsi="Garamond" w:cs="Times New Roman"/>
              </w:rPr>
              <w:t>;</w:t>
            </w:r>
            <w:r w:rsidRPr="006257A7">
              <w:rPr>
                <w:rFonts w:ascii="Garamond" w:eastAsia="LACCNI+Calibri" w:hAnsi="Garamond" w:cs="Times New Roman"/>
              </w:rPr>
              <w:t xml:space="preserve"> OR</w:t>
            </w:r>
          </w:p>
          <w:p w14:paraId="1224B85B" w14:textId="5BFE054A" w:rsidR="009F720F" w:rsidRPr="006257A7" w:rsidRDefault="009F720F" w:rsidP="009F720F">
            <w:pPr>
              <w:pStyle w:val="ListParagraph"/>
              <w:numPr>
                <w:ilvl w:val="0"/>
                <w:numId w:val="2"/>
              </w:numPr>
              <w:ind w:left="321"/>
              <w:rPr>
                <w:rFonts w:ascii="Garamond" w:eastAsiaTheme="minorHAnsi" w:hAnsi="Garamond" w:cs="Times New Roman"/>
              </w:rPr>
            </w:pPr>
            <w:r w:rsidRPr="006257A7">
              <w:rPr>
                <w:rFonts w:ascii="Garamond" w:eastAsia="LACCNI+Calibri" w:hAnsi="Garamond" w:cs="Times New Roman"/>
              </w:rPr>
              <w:t>1+ physician claims with diagnosis of hyperkinetic syndrome (ICD</w:t>
            </w:r>
            <w:r w:rsidRPr="006257A7">
              <w:rPr>
                <w:rFonts w:ascii="Cambria Math" w:eastAsia="LACCNI+Calibri" w:hAnsi="Cambria Math" w:cs="Cambria Math"/>
              </w:rPr>
              <w:t>‐</w:t>
            </w:r>
            <w:r w:rsidRPr="006257A7">
              <w:rPr>
                <w:rFonts w:ascii="Garamond" w:eastAsia="LACCNI+Calibri" w:hAnsi="Garamond" w:cs="Times New Roman"/>
              </w:rPr>
              <w:t>9</w:t>
            </w:r>
            <w:r w:rsidRPr="006257A7">
              <w:rPr>
                <w:rFonts w:ascii="Cambria Math" w:eastAsia="LACCNI+Calibri" w:hAnsi="Cambria Math" w:cs="Cambria Math"/>
              </w:rPr>
              <w:t>‐</w:t>
            </w:r>
            <w:r w:rsidRPr="006257A7">
              <w:rPr>
                <w:rFonts w:ascii="Garamond" w:eastAsia="LACCNI+Calibri" w:hAnsi="Garamond" w:cs="Times New Roman"/>
              </w:rPr>
              <w:t>CM code 314) in one fiscal year</w:t>
            </w:r>
            <w:r w:rsidR="00CC2025" w:rsidRPr="006257A7">
              <w:rPr>
                <w:rFonts w:ascii="Garamond" w:eastAsia="LACCNI+Calibri" w:hAnsi="Garamond" w:cs="Times New Roman"/>
              </w:rPr>
              <w:t>;</w:t>
            </w:r>
            <w:r w:rsidRPr="006257A7">
              <w:rPr>
                <w:rFonts w:ascii="Garamond" w:eastAsia="LACCNI+Calibri" w:hAnsi="Garamond" w:cs="Times New Roman"/>
              </w:rPr>
              <w:t xml:space="preserve"> OR</w:t>
            </w:r>
          </w:p>
          <w:p w14:paraId="25C12D43" w14:textId="017AD26A" w:rsidR="009F720F" w:rsidRPr="006257A7" w:rsidRDefault="009F720F" w:rsidP="009F720F">
            <w:pPr>
              <w:pStyle w:val="ListParagraph"/>
              <w:numPr>
                <w:ilvl w:val="0"/>
                <w:numId w:val="2"/>
              </w:numPr>
              <w:ind w:left="321"/>
              <w:rPr>
                <w:rFonts w:ascii="Garamond" w:eastAsiaTheme="minorHAnsi" w:hAnsi="Garamond" w:cs="Times New Roman"/>
              </w:rPr>
            </w:pPr>
            <w:r w:rsidRPr="006257A7">
              <w:rPr>
                <w:rFonts w:ascii="Garamond" w:eastAsia="LACCNI+Calibri" w:hAnsi="Garamond" w:cs="Times New Roman"/>
              </w:rPr>
              <w:t xml:space="preserve">2+ Rx for ADHD drugs in one fiscal year </w:t>
            </w:r>
            <w:r w:rsidR="00511A62" w:rsidRPr="006257A7">
              <w:rPr>
                <w:rFonts w:ascii="Garamond" w:eastAsia="LACCNI+Calibri" w:hAnsi="Garamond" w:cs="Times New Roman"/>
              </w:rPr>
              <w:t xml:space="preserve">without a diagnosis in the same fiscal year of </w:t>
            </w:r>
            <w:r w:rsidRPr="006257A7">
              <w:rPr>
                <w:rFonts w:ascii="Garamond" w:eastAsia="LACCNI+Calibri" w:hAnsi="Garamond" w:cs="Times New Roman"/>
              </w:rPr>
              <w:t>cataplexy/narcolepsy (347/G47.4)</w:t>
            </w:r>
            <w:r w:rsidR="00CC2025" w:rsidRPr="006257A7">
              <w:rPr>
                <w:rFonts w:ascii="Garamond" w:eastAsia="LACCNI+Calibri" w:hAnsi="Garamond" w:cs="Times New Roman"/>
              </w:rPr>
              <w:t>;</w:t>
            </w:r>
            <w:r w:rsidRPr="006257A7">
              <w:rPr>
                <w:rFonts w:ascii="Garamond" w:eastAsia="LACCNI+Calibri" w:hAnsi="Garamond" w:cs="Times New Roman"/>
              </w:rPr>
              <w:t xml:space="preserve"> OR</w:t>
            </w:r>
          </w:p>
          <w:p w14:paraId="7EF231A3" w14:textId="63CD91A6" w:rsidR="009F720F" w:rsidRPr="006257A7" w:rsidRDefault="009F720F" w:rsidP="004E197D">
            <w:pPr>
              <w:pStyle w:val="ListParagraph"/>
              <w:numPr>
                <w:ilvl w:val="0"/>
                <w:numId w:val="2"/>
              </w:numPr>
              <w:ind w:left="317" w:hanging="357"/>
              <w:rPr>
                <w:rFonts w:ascii="Garamond" w:eastAsiaTheme="minorHAnsi" w:hAnsi="Garamond" w:cs="Times New Roman"/>
              </w:rPr>
            </w:pPr>
            <w:r w:rsidRPr="006257A7">
              <w:rPr>
                <w:rFonts w:ascii="Garamond" w:eastAsia="LACCNI+Calibri" w:hAnsi="Garamond" w:cs="Times New Roman"/>
              </w:rPr>
              <w:t>1 Rx for ADHD drugs in one fiscal year with diagnosis of hyperkinetic syndrome (ICD</w:t>
            </w:r>
            <w:r w:rsidRPr="006257A7">
              <w:rPr>
                <w:rFonts w:ascii="Cambria Math" w:eastAsia="LACCNI+Calibri" w:hAnsi="Cambria Math" w:cs="Cambria Math"/>
              </w:rPr>
              <w:t>‐</w:t>
            </w:r>
            <w:r w:rsidRPr="006257A7">
              <w:rPr>
                <w:rFonts w:ascii="Garamond" w:eastAsia="LACCNI+Calibri" w:hAnsi="Garamond" w:cs="Times New Roman"/>
              </w:rPr>
              <w:t>9</w:t>
            </w:r>
            <w:r w:rsidRPr="006257A7">
              <w:rPr>
                <w:rFonts w:ascii="Cambria Math" w:eastAsia="LACCNI+Calibri" w:hAnsi="Cambria Math" w:cs="Cambria Math"/>
              </w:rPr>
              <w:t>‐</w:t>
            </w:r>
            <w:r w:rsidRPr="006257A7">
              <w:rPr>
                <w:rFonts w:ascii="Garamond" w:eastAsia="LACCNI+Calibri" w:hAnsi="Garamond" w:cs="Times New Roman"/>
              </w:rPr>
              <w:t>CM code 314 or ICD</w:t>
            </w:r>
            <w:r w:rsidRPr="006257A7">
              <w:rPr>
                <w:rFonts w:ascii="Cambria Math" w:eastAsia="LACCNI+Calibri" w:hAnsi="Cambria Math" w:cs="Cambria Math"/>
              </w:rPr>
              <w:t>‐</w:t>
            </w:r>
            <w:r w:rsidRPr="006257A7">
              <w:rPr>
                <w:rFonts w:ascii="Garamond" w:eastAsia="LACCNI+Calibri" w:hAnsi="Garamond" w:cs="Times New Roman"/>
              </w:rPr>
              <w:t>10 code F90) in the previous 3 years.</w:t>
            </w:r>
          </w:p>
          <w:p w14:paraId="6059753B" w14:textId="7F83459E" w:rsidR="00B90FDE" w:rsidRPr="006257A7" w:rsidRDefault="005D29A3" w:rsidP="009F720F">
            <w:pPr>
              <w:pStyle w:val="ListParagraph"/>
              <w:numPr>
                <w:ilvl w:val="0"/>
                <w:numId w:val="2"/>
              </w:numPr>
              <w:spacing w:after="120"/>
              <w:ind w:left="317" w:hanging="357"/>
              <w:rPr>
                <w:rFonts w:ascii="Garamond" w:eastAsiaTheme="minorHAnsi" w:hAnsi="Garamond" w:cs="Times New Roman"/>
              </w:rPr>
            </w:pPr>
            <w:r w:rsidRPr="006257A7">
              <w:rPr>
                <w:rFonts w:ascii="Garamond" w:hAnsi="Garamond" w:cs="Times New Roman"/>
              </w:rPr>
              <w:t xml:space="preserve">Corresponding </w:t>
            </w:r>
            <w:r w:rsidR="00B90FDE" w:rsidRPr="006257A7">
              <w:rPr>
                <w:rFonts w:ascii="Garamond" w:eastAsia="LACCNI+Calibri" w:hAnsi="Garamond" w:cs="Times New Roman"/>
              </w:rPr>
              <w:t xml:space="preserve">DSM </w:t>
            </w:r>
            <w:r w:rsidR="005B72E4" w:rsidRPr="006257A7">
              <w:rPr>
                <w:rFonts w:ascii="Garamond" w:eastAsia="LACCNI+Calibri" w:hAnsi="Garamond" w:cs="Times New Roman"/>
              </w:rPr>
              <w:t>descriptions or diagnoses</w:t>
            </w:r>
            <w:r w:rsidR="00B90FDE" w:rsidRPr="006257A7">
              <w:rPr>
                <w:rFonts w:ascii="Garamond" w:eastAsia="LACCNI+Calibri" w:hAnsi="Garamond" w:cs="Times New Roman"/>
              </w:rPr>
              <w:t>:</w:t>
            </w:r>
            <w:r w:rsidR="005B72E4" w:rsidRPr="006257A7">
              <w:rPr>
                <w:rFonts w:ascii="Garamond" w:eastAsia="LACCNI+Calibri" w:hAnsi="Garamond" w:cs="Times New Roman"/>
              </w:rPr>
              <w:t xml:space="preserve"> </w:t>
            </w:r>
            <w:r w:rsidR="005B72E4" w:rsidRPr="006257A7">
              <w:rPr>
                <w:rFonts w:ascii="Garamond" w:eastAsiaTheme="minorHAnsi" w:hAnsi="Garamond" w:cs="Times New Roman"/>
              </w:rPr>
              <w:t>Attention-deficit/hyperactivity disorder, other specified/unspecified attention-deficit/hyperactivity disorders</w:t>
            </w:r>
          </w:p>
          <w:p w14:paraId="2C67334D" w14:textId="30A3F967" w:rsidR="009F720F" w:rsidRPr="006257A7" w:rsidRDefault="006909FA" w:rsidP="009F720F">
            <w:pPr>
              <w:rPr>
                <w:rFonts w:cs="Times New Roman"/>
                <w:szCs w:val="24"/>
              </w:rPr>
            </w:pPr>
            <w:r w:rsidRPr="006257A7">
              <w:rPr>
                <w:rFonts w:cs="Times New Roman"/>
                <w:szCs w:val="24"/>
              </w:rPr>
              <w:t>Conduct disorder</w:t>
            </w:r>
            <w:r w:rsidR="00CC2025" w:rsidRPr="006257A7">
              <w:rPr>
                <w:rFonts w:cs="Times New Roman"/>
                <w:szCs w:val="24"/>
              </w:rPr>
              <w:t>s</w:t>
            </w:r>
            <w:r w:rsidR="00511A62" w:rsidRPr="006257A7">
              <w:rPr>
                <w:rFonts w:cs="Times New Roman"/>
                <w:szCs w:val="24"/>
              </w:rPr>
              <w:t>:</w:t>
            </w:r>
          </w:p>
          <w:p w14:paraId="0E27D8D5" w14:textId="0DBD71AE" w:rsidR="009F720F" w:rsidRPr="006257A7" w:rsidRDefault="009F720F" w:rsidP="009F720F">
            <w:pPr>
              <w:pStyle w:val="ListParagraph"/>
              <w:numPr>
                <w:ilvl w:val="0"/>
                <w:numId w:val="3"/>
              </w:numPr>
              <w:ind w:left="312"/>
              <w:rPr>
                <w:rFonts w:ascii="Garamond" w:eastAsiaTheme="minorHAnsi" w:hAnsi="Garamond" w:cs="Times New Roman"/>
              </w:rPr>
            </w:pPr>
            <w:r w:rsidRPr="006257A7">
              <w:rPr>
                <w:rFonts w:ascii="Garamond" w:hAnsi="Garamond" w:cs="Times New Roman"/>
              </w:rPr>
              <w:t>One or more hospitalizations with diagnosis of conduct disorder</w:t>
            </w:r>
            <w:r w:rsidR="00CC2025" w:rsidRPr="006257A7">
              <w:rPr>
                <w:rFonts w:ascii="Garamond" w:hAnsi="Garamond" w:cs="Times New Roman"/>
              </w:rPr>
              <w:t>s</w:t>
            </w:r>
            <w:r w:rsidRPr="006257A7">
              <w:rPr>
                <w:rFonts w:ascii="Garamond" w:hAnsi="Garamond" w:cs="Times New Roman"/>
              </w:rPr>
              <w:t xml:space="preserve"> </w:t>
            </w:r>
            <w:r w:rsidR="00612708" w:rsidRPr="006257A7">
              <w:rPr>
                <w:rFonts w:ascii="Garamond" w:hAnsi="Garamond" w:cs="Times New Roman"/>
              </w:rPr>
              <w:t>(</w:t>
            </w:r>
            <w:r w:rsidRPr="006257A7">
              <w:rPr>
                <w:rFonts w:ascii="Garamond" w:eastAsia="LACCNI+Calibri" w:hAnsi="Garamond" w:cs="Times New Roman"/>
              </w:rPr>
              <w:t>ICD</w:t>
            </w:r>
            <w:r w:rsidR="00857C36" w:rsidRPr="006257A7">
              <w:rPr>
                <w:rFonts w:ascii="Garamond" w:eastAsia="LACCNI+Calibri" w:hAnsi="Garamond" w:cs="Times New Roman"/>
              </w:rPr>
              <w:t>-</w:t>
            </w:r>
            <w:r w:rsidRPr="006257A7">
              <w:rPr>
                <w:rFonts w:ascii="Garamond" w:eastAsia="LACCNI+Calibri" w:hAnsi="Garamond" w:cs="Times New Roman"/>
              </w:rPr>
              <w:t>9</w:t>
            </w:r>
            <w:r w:rsidR="00653550" w:rsidRPr="006257A7">
              <w:rPr>
                <w:rFonts w:ascii="Garamond" w:eastAsia="LACCNI+Calibri" w:hAnsi="Garamond" w:cs="Times New Roman"/>
              </w:rPr>
              <w:t>/DSM</w:t>
            </w:r>
            <w:r w:rsidRPr="006257A7">
              <w:rPr>
                <w:rFonts w:ascii="Garamond" w:eastAsia="LACCNI+Calibri" w:hAnsi="Garamond" w:cs="Times New Roman"/>
              </w:rPr>
              <w:t>:</w:t>
            </w:r>
            <w:r w:rsidR="00256099" w:rsidRPr="006257A7">
              <w:rPr>
                <w:rFonts w:ascii="Garamond" w:eastAsia="LACCNI+Calibri" w:hAnsi="Garamond" w:cs="Times New Roman"/>
              </w:rPr>
              <w:t xml:space="preserve"> </w:t>
            </w:r>
            <w:r w:rsidRPr="006257A7">
              <w:rPr>
                <w:rFonts w:ascii="Garamond" w:eastAsia="LACCNI+Calibri" w:hAnsi="Garamond" w:cs="Times New Roman"/>
              </w:rPr>
              <w:t>312</w:t>
            </w:r>
            <w:r w:rsidR="00612708" w:rsidRPr="006257A7">
              <w:rPr>
                <w:rFonts w:ascii="Garamond" w:eastAsia="LACCNI+Calibri" w:hAnsi="Garamond" w:cs="Times New Roman"/>
              </w:rPr>
              <w:t>)</w:t>
            </w:r>
            <w:r w:rsidR="00CC2025" w:rsidRPr="006257A7">
              <w:rPr>
                <w:rFonts w:ascii="Garamond" w:eastAsia="LACCNI+Calibri" w:hAnsi="Garamond" w:cs="Times New Roman"/>
              </w:rPr>
              <w:t xml:space="preserve">, oppositional defiant disorder </w:t>
            </w:r>
            <w:r w:rsidR="00612708" w:rsidRPr="006257A7">
              <w:rPr>
                <w:rFonts w:ascii="Garamond" w:eastAsia="LACCNI+Calibri" w:hAnsi="Garamond" w:cs="Times New Roman"/>
              </w:rPr>
              <w:t>(</w:t>
            </w:r>
            <w:r w:rsidR="00CC2025" w:rsidRPr="006257A7">
              <w:rPr>
                <w:rFonts w:ascii="Garamond" w:eastAsia="LACCNI+Calibri" w:hAnsi="Garamond" w:cs="Times New Roman"/>
              </w:rPr>
              <w:t>ICD</w:t>
            </w:r>
            <w:r w:rsidR="00653550" w:rsidRPr="006257A7">
              <w:rPr>
                <w:rFonts w:ascii="Garamond" w:eastAsia="LACCNI+Calibri" w:hAnsi="Garamond" w:cs="Times New Roman"/>
              </w:rPr>
              <w:t>-</w:t>
            </w:r>
            <w:r w:rsidR="00CC2025" w:rsidRPr="006257A7">
              <w:rPr>
                <w:rFonts w:ascii="Garamond" w:eastAsia="LACCNI+Calibri" w:hAnsi="Garamond" w:cs="Times New Roman"/>
              </w:rPr>
              <w:t>9</w:t>
            </w:r>
            <w:r w:rsidR="00653550" w:rsidRPr="006257A7">
              <w:rPr>
                <w:rFonts w:ascii="Garamond" w:eastAsia="LACCNI+Calibri" w:hAnsi="Garamond" w:cs="Times New Roman"/>
              </w:rPr>
              <w:t>/DSM</w:t>
            </w:r>
            <w:r w:rsidR="00CC2025" w:rsidRPr="006257A7">
              <w:rPr>
                <w:rFonts w:ascii="Garamond" w:eastAsia="LACCNI+Calibri" w:hAnsi="Garamond" w:cs="Times New Roman"/>
              </w:rPr>
              <w:t>: 313</w:t>
            </w:r>
            <w:r w:rsidR="00612708" w:rsidRPr="006257A7">
              <w:rPr>
                <w:rFonts w:ascii="Garamond" w:eastAsia="LACCNI+Calibri" w:hAnsi="Garamond" w:cs="Times New Roman"/>
              </w:rPr>
              <w:t>)</w:t>
            </w:r>
            <w:r w:rsidRPr="006257A7">
              <w:rPr>
                <w:rFonts w:ascii="Garamond" w:eastAsia="LACCNI+Calibri" w:hAnsi="Garamond" w:cs="Times New Roman"/>
              </w:rPr>
              <w:t xml:space="preserve"> or ICD</w:t>
            </w:r>
            <w:r w:rsidRPr="006257A7">
              <w:rPr>
                <w:rFonts w:ascii="Cambria Math" w:eastAsia="LACCNI+Calibri" w:hAnsi="Cambria Math" w:cs="Cambria Math"/>
              </w:rPr>
              <w:t>‐</w:t>
            </w:r>
            <w:r w:rsidRPr="006257A7">
              <w:rPr>
                <w:rFonts w:ascii="Garamond" w:eastAsia="LACCNI+Calibri" w:hAnsi="Garamond" w:cs="Times New Roman"/>
              </w:rPr>
              <w:t>10:</w:t>
            </w:r>
            <w:r w:rsidR="00AE55CB" w:rsidRPr="006257A7">
              <w:rPr>
                <w:rFonts w:ascii="Garamond" w:eastAsia="LACCNI+Calibri" w:hAnsi="Garamond" w:cs="Times New Roman"/>
              </w:rPr>
              <w:t xml:space="preserve"> </w:t>
            </w:r>
            <w:r w:rsidRPr="006257A7">
              <w:rPr>
                <w:rFonts w:ascii="Garamond" w:eastAsia="LACCNI+Calibri" w:hAnsi="Garamond" w:cs="Times New Roman"/>
              </w:rPr>
              <w:t>F91 (</w:t>
            </w:r>
            <w:r w:rsidR="00612708" w:rsidRPr="006257A7">
              <w:rPr>
                <w:rFonts w:ascii="Garamond" w:eastAsia="LACCNI+Calibri" w:hAnsi="Garamond" w:cs="Times New Roman"/>
              </w:rPr>
              <w:t>a</w:t>
            </w:r>
            <w:r w:rsidRPr="006257A7">
              <w:rPr>
                <w:rFonts w:ascii="Garamond" w:eastAsia="LACCNI+Calibri" w:hAnsi="Garamond" w:cs="Times New Roman"/>
              </w:rPr>
              <w:t>ll F91</w:t>
            </w:r>
            <w:r w:rsidR="00612708" w:rsidRPr="006257A7">
              <w:rPr>
                <w:rFonts w:ascii="Garamond" w:eastAsia="LACCNI+Calibri" w:hAnsi="Garamond" w:cs="Times New Roman"/>
              </w:rPr>
              <w:t xml:space="preserve"> codes</w:t>
            </w:r>
            <w:r w:rsidRPr="006257A7">
              <w:rPr>
                <w:rFonts w:ascii="Garamond" w:eastAsia="LACCNI+Calibri" w:hAnsi="Garamond" w:cs="Times New Roman"/>
              </w:rPr>
              <w:t>)</w:t>
            </w:r>
            <w:r w:rsidR="00CC2025" w:rsidRPr="006257A7">
              <w:rPr>
                <w:rFonts w:ascii="Garamond" w:eastAsia="LACCNI+Calibri" w:hAnsi="Garamond" w:cs="Times New Roman"/>
              </w:rPr>
              <w:t>; OR</w:t>
            </w:r>
          </w:p>
          <w:p w14:paraId="0AEAB511" w14:textId="37BECB85" w:rsidR="009F720F" w:rsidRPr="006257A7" w:rsidRDefault="009F720F" w:rsidP="004E197D">
            <w:pPr>
              <w:pStyle w:val="ListParagraph"/>
              <w:numPr>
                <w:ilvl w:val="0"/>
                <w:numId w:val="3"/>
              </w:numPr>
              <w:ind w:left="312" w:hanging="357"/>
              <w:rPr>
                <w:rFonts w:ascii="Garamond" w:eastAsiaTheme="minorHAnsi" w:hAnsi="Garamond" w:cs="Times New Roman"/>
              </w:rPr>
            </w:pPr>
            <w:r w:rsidRPr="006257A7">
              <w:rPr>
                <w:rFonts w:ascii="Garamond" w:eastAsia="LACCNI+Calibri" w:hAnsi="Garamond" w:cs="Times New Roman"/>
              </w:rPr>
              <w:t xml:space="preserve">One or more physician visits with a diagnosis of conduct disorders </w:t>
            </w:r>
            <w:r w:rsidR="00612708" w:rsidRPr="006257A7">
              <w:rPr>
                <w:rFonts w:ascii="Garamond" w:eastAsia="LACCNI+Calibri" w:hAnsi="Garamond" w:cs="Times New Roman"/>
              </w:rPr>
              <w:t>(</w:t>
            </w:r>
            <w:r w:rsidRPr="006257A7">
              <w:rPr>
                <w:rFonts w:ascii="Garamond" w:eastAsia="LACCNI+Calibri" w:hAnsi="Garamond" w:cs="Times New Roman"/>
              </w:rPr>
              <w:t>ICD</w:t>
            </w:r>
            <w:r w:rsidR="00653550" w:rsidRPr="006257A7">
              <w:rPr>
                <w:rFonts w:ascii="Garamond" w:eastAsia="LACCNI+Calibri" w:hAnsi="Garamond" w:cs="Times New Roman"/>
              </w:rPr>
              <w:t>-</w:t>
            </w:r>
            <w:r w:rsidRPr="006257A7">
              <w:rPr>
                <w:rFonts w:ascii="Garamond" w:eastAsia="LACCNI+Calibri" w:hAnsi="Garamond" w:cs="Times New Roman"/>
              </w:rPr>
              <w:t>9</w:t>
            </w:r>
            <w:r w:rsidR="00653550" w:rsidRPr="006257A7">
              <w:rPr>
                <w:rFonts w:ascii="Garamond" w:eastAsia="LACCNI+Calibri" w:hAnsi="Garamond" w:cs="Times New Roman"/>
              </w:rPr>
              <w:t>/DSM</w:t>
            </w:r>
            <w:r w:rsidRPr="006257A7">
              <w:rPr>
                <w:rFonts w:ascii="Garamond" w:eastAsia="LACCNI+Calibri" w:hAnsi="Garamond" w:cs="Times New Roman"/>
              </w:rPr>
              <w:t>:</w:t>
            </w:r>
            <w:r w:rsidR="00256099" w:rsidRPr="006257A7">
              <w:rPr>
                <w:rFonts w:ascii="Garamond" w:eastAsia="LACCNI+Calibri" w:hAnsi="Garamond" w:cs="Times New Roman"/>
              </w:rPr>
              <w:t xml:space="preserve"> </w:t>
            </w:r>
            <w:r w:rsidR="00511A62" w:rsidRPr="006257A7">
              <w:rPr>
                <w:rFonts w:ascii="Garamond" w:eastAsia="LACCNI+Calibri" w:hAnsi="Garamond" w:cs="Times New Roman"/>
              </w:rPr>
              <w:t>312</w:t>
            </w:r>
            <w:r w:rsidR="00612708" w:rsidRPr="006257A7">
              <w:rPr>
                <w:rFonts w:ascii="Garamond" w:eastAsia="LACCNI+Calibri" w:hAnsi="Garamond" w:cs="Times New Roman"/>
              </w:rPr>
              <w:t>, ICD-10: all F91 codes)</w:t>
            </w:r>
            <w:r w:rsidRPr="006257A7">
              <w:rPr>
                <w:rFonts w:ascii="Garamond" w:eastAsia="LACCNI+Calibri" w:hAnsi="Garamond" w:cs="Times New Roman"/>
              </w:rPr>
              <w:t xml:space="preserve"> </w:t>
            </w:r>
            <w:r w:rsidR="00CC2025" w:rsidRPr="006257A7">
              <w:rPr>
                <w:rFonts w:ascii="Garamond" w:eastAsia="LACCNI+Calibri" w:hAnsi="Garamond" w:cs="Times New Roman"/>
              </w:rPr>
              <w:t xml:space="preserve">or oppositional defiant disorder </w:t>
            </w:r>
            <w:r w:rsidR="00612708" w:rsidRPr="006257A7">
              <w:rPr>
                <w:rFonts w:ascii="Garamond" w:eastAsia="LACCNI+Calibri" w:hAnsi="Garamond" w:cs="Times New Roman"/>
              </w:rPr>
              <w:t>(</w:t>
            </w:r>
            <w:r w:rsidR="00CC2025" w:rsidRPr="006257A7">
              <w:rPr>
                <w:rFonts w:ascii="Garamond" w:eastAsia="LACCNI+Calibri" w:hAnsi="Garamond" w:cs="Times New Roman"/>
              </w:rPr>
              <w:t>ICD-9</w:t>
            </w:r>
            <w:r w:rsidR="00653550" w:rsidRPr="006257A7">
              <w:rPr>
                <w:rFonts w:ascii="Garamond" w:eastAsia="LACCNI+Calibri" w:hAnsi="Garamond" w:cs="Times New Roman"/>
              </w:rPr>
              <w:t>/DSM</w:t>
            </w:r>
            <w:r w:rsidR="00CC2025" w:rsidRPr="006257A7">
              <w:rPr>
                <w:rFonts w:ascii="Garamond" w:eastAsia="LACCNI+Calibri" w:hAnsi="Garamond" w:cs="Times New Roman"/>
              </w:rPr>
              <w:t>: 313 or ICD-10: F91.3</w:t>
            </w:r>
            <w:r w:rsidR="00612708" w:rsidRPr="006257A7">
              <w:rPr>
                <w:rFonts w:ascii="Garamond" w:eastAsia="LACCNI+Calibri" w:hAnsi="Garamond" w:cs="Times New Roman"/>
              </w:rPr>
              <w:t>)</w:t>
            </w:r>
            <w:r w:rsidR="00CC2025" w:rsidRPr="006257A7">
              <w:rPr>
                <w:rFonts w:ascii="Garamond" w:eastAsia="LACCNI+Calibri" w:hAnsi="Garamond" w:cs="Times New Roman"/>
              </w:rPr>
              <w:t>.</w:t>
            </w:r>
          </w:p>
          <w:p w14:paraId="29B61E46" w14:textId="517375FA" w:rsidR="00B90FDE" w:rsidRPr="006257A7" w:rsidRDefault="005D29A3" w:rsidP="004E197D">
            <w:pPr>
              <w:pStyle w:val="ListParagraph"/>
              <w:numPr>
                <w:ilvl w:val="0"/>
                <w:numId w:val="3"/>
              </w:numPr>
              <w:spacing w:after="120"/>
              <w:ind w:left="312" w:hanging="357"/>
              <w:rPr>
                <w:rFonts w:ascii="Garamond" w:eastAsiaTheme="minorHAnsi" w:hAnsi="Garamond" w:cs="Times New Roman"/>
              </w:rPr>
            </w:pPr>
            <w:r w:rsidRPr="006257A7">
              <w:rPr>
                <w:rFonts w:ascii="Garamond" w:hAnsi="Garamond" w:cs="Times New Roman"/>
              </w:rPr>
              <w:t xml:space="preserve">Corresponding </w:t>
            </w:r>
            <w:r w:rsidR="00B90FDE" w:rsidRPr="006257A7">
              <w:rPr>
                <w:rFonts w:ascii="Garamond" w:eastAsia="LACCNI+Calibri" w:hAnsi="Garamond" w:cs="Times New Roman"/>
              </w:rPr>
              <w:t xml:space="preserve">DSM </w:t>
            </w:r>
            <w:r w:rsidR="005B72E4" w:rsidRPr="006257A7">
              <w:rPr>
                <w:rFonts w:ascii="Garamond" w:eastAsia="LACCNI+Calibri" w:hAnsi="Garamond" w:cs="Times New Roman"/>
              </w:rPr>
              <w:t>descriptions or diagnoses</w:t>
            </w:r>
            <w:r w:rsidR="00B90FDE" w:rsidRPr="006257A7">
              <w:rPr>
                <w:rFonts w:ascii="Garamond" w:eastAsia="LACCNI+Calibri" w:hAnsi="Garamond" w:cs="Times New Roman"/>
              </w:rPr>
              <w:t>:</w:t>
            </w:r>
            <w:r w:rsidR="005B72E4" w:rsidRPr="006257A7">
              <w:rPr>
                <w:rFonts w:ascii="Garamond" w:eastAsia="LACCNI+Calibri" w:hAnsi="Garamond" w:cs="Times New Roman"/>
              </w:rPr>
              <w:t xml:space="preserve"> </w:t>
            </w:r>
            <w:r w:rsidR="005B72E4" w:rsidRPr="006257A7">
              <w:rPr>
                <w:rFonts w:ascii="Garamond" w:eastAsiaTheme="minorHAnsi" w:hAnsi="Garamond" w:cs="Times New Roman"/>
              </w:rPr>
              <w:t xml:space="preserve">Conduct disorder, kleptomania, gambling disorder, </w:t>
            </w:r>
            <w:r w:rsidR="005B72E4" w:rsidRPr="006257A7">
              <w:rPr>
                <w:rFonts w:ascii="Garamond" w:eastAsia="LACCNI+Calibri" w:hAnsi="Garamond" w:cs="Times New Roman"/>
              </w:rPr>
              <w:t xml:space="preserve">pyromania, intermittent explosive disorder, </w:t>
            </w:r>
            <w:r w:rsidR="005B72E4" w:rsidRPr="006257A7">
              <w:rPr>
                <w:rFonts w:ascii="Garamond" w:eastAsiaTheme="minorHAnsi" w:hAnsi="Garamond" w:cs="Times New Roman"/>
              </w:rPr>
              <w:t xml:space="preserve">trichotillomania (hair-pulling disorder), other specified/unspecified disruptive, impulse-control, and conduct disorders, oppositional defiant disorder, reactive attachment disorder, selective mutism, </w:t>
            </w:r>
            <w:r w:rsidRPr="006257A7">
              <w:rPr>
                <w:rFonts w:ascii="Garamond" w:eastAsiaTheme="minorHAnsi" w:hAnsi="Garamond" w:cs="Times New Roman"/>
              </w:rPr>
              <w:t>d</w:t>
            </w:r>
            <w:r w:rsidR="005B72E4" w:rsidRPr="006257A7">
              <w:rPr>
                <w:rFonts w:ascii="Garamond" w:eastAsiaTheme="minorHAnsi" w:hAnsi="Garamond" w:cs="Times New Roman"/>
              </w:rPr>
              <w:t>isinhibited social engagement disorder</w:t>
            </w:r>
          </w:p>
        </w:tc>
      </w:tr>
      <w:tr w:rsidR="009F720F" w:rsidRPr="006257A7" w14:paraId="099BABB1" w14:textId="6BB24BA1" w:rsidTr="009F720F">
        <w:tc>
          <w:tcPr>
            <w:tcW w:w="1303" w:type="pct"/>
          </w:tcPr>
          <w:p w14:paraId="32A8DB96" w14:textId="77777777" w:rsidR="009F720F" w:rsidRPr="006257A7" w:rsidRDefault="009F720F" w:rsidP="009F720F">
            <w:pPr>
              <w:rPr>
                <w:rFonts w:cs="Times New Roman"/>
                <w:b/>
                <w:szCs w:val="24"/>
                <w:lang w:bidi="en-US"/>
              </w:rPr>
            </w:pPr>
            <w:r w:rsidRPr="006257A7">
              <w:rPr>
                <w:rFonts w:cs="Times New Roman"/>
                <w:b/>
                <w:szCs w:val="24"/>
                <w:lang w:bidi="en-US"/>
              </w:rPr>
              <w:lastRenderedPageBreak/>
              <w:t>Child’s sex</w:t>
            </w:r>
          </w:p>
        </w:tc>
        <w:tc>
          <w:tcPr>
            <w:tcW w:w="3697" w:type="pct"/>
          </w:tcPr>
          <w:p w14:paraId="12FCCE6E" w14:textId="619CA271" w:rsidR="009F720F" w:rsidRPr="006257A7" w:rsidRDefault="009F720F" w:rsidP="009F720F">
            <w:pPr>
              <w:spacing w:after="120"/>
              <w:rPr>
                <w:rFonts w:cs="Times New Roman"/>
                <w:szCs w:val="24"/>
              </w:rPr>
            </w:pPr>
            <w:r w:rsidRPr="006257A7">
              <w:rPr>
                <w:rFonts w:cs="Times New Roman"/>
                <w:szCs w:val="24"/>
              </w:rPr>
              <w:t>Biological sex (</w:t>
            </w:r>
            <w:r w:rsidR="003D0F11" w:rsidRPr="006257A7">
              <w:rPr>
                <w:rFonts w:cs="Times New Roman"/>
                <w:szCs w:val="24"/>
              </w:rPr>
              <w:t>male</w:t>
            </w:r>
            <w:r w:rsidRPr="006257A7">
              <w:rPr>
                <w:rFonts w:cs="Times New Roman"/>
                <w:szCs w:val="24"/>
              </w:rPr>
              <w:t>/</w:t>
            </w:r>
            <w:r w:rsidR="003D0F11" w:rsidRPr="006257A7">
              <w:rPr>
                <w:rFonts w:cs="Times New Roman"/>
                <w:szCs w:val="24"/>
              </w:rPr>
              <w:t>female</w:t>
            </w:r>
            <w:r w:rsidRPr="006257A7">
              <w:rPr>
                <w:rFonts w:cs="Times New Roman"/>
                <w:szCs w:val="24"/>
              </w:rPr>
              <w:t>)</w:t>
            </w:r>
          </w:p>
        </w:tc>
      </w:tr>
      <w:tr w:rsidR="009F720F" w:rsidRPr="006257A7" w14:paraId="0534034B" w14:textId="1CDD334A" w:rsidTr="009F720F">
        <w:tc>
          <w:tcPr>
            <w:tcW w:w="1303" w:type="pct"/>
          </w:tcPr>
          <w:p w14:paraId="34166225" w14:textId="77777777" w:rsidR="009F720F" w:rsidRPr="006257A7" w:rsidRDefault="009F720F" w:rsidP="009F720F">
            <w:pPr>
              <w:rPr>
                <w:rFonts w:cs="Times New Roman"/>
                <w:b/>
                <w:szCs w:val="24"/>
                <w:lang w:bidi="en-US"/>
              </w:rPr>
            </w:pPr>
            <w:r w:rsidRPr="006257A7">
              <w:rPr>
                <w:rFonts w:cs="Times New Roman"/>
                <w:b/>
                <w:szCs w:val="24"/>
                <w:lang w:bidi="en-US"/>
              </w:rPr>
              <w:lastRenderedPageBreak/>
              <w:t>Child’s age</w:t>
            </w:r>
          </w:p>
        </w:tc>
        <w:tc>
          <w:tcPr>
            <w:tcW w:w="3697" w:type="pct"/>
          </w:tcPr>
          <w:p w14:paraId="59BFEBCC" w14:textId="351AD086" w:rsidR="009F720F" w:rsidRPr="006257A7" w:rsidRDefault="009F720F" w:rsidP="009F720F">
            <w:pPr>
              <w:spacing w:after="120"/>
              <w:rPr>
                <w:rFonts w:cs="Times New Roman"/>
                <w:szCs w:val="24"/>
                <w:lang w:bidi="en-US"/>
              </w:rPr>
            </w:pPr>
            <w:r w:rsidRPr="006257A7">
              <w:rPr>
                <w:rFonts w:cs="Times New Roman"/>
                <w:szCs w:val="24"/>
              </w:rPr>
              <w:t>Date of birth</w:t>
            </w:r>
          </w:p>
        </w:tc>
      </w:tr>
      <w:tr w:rsidR="00763354" w:rsidRPr="006257A7" w14:paraId="0B88FE6C" w14:textId="77777777" w:rsidTr="002C496C">
        <w:tc>
          <w:tcPr>
            <w:tcW w:w="1303" w:type="pct"/>
          </w:tcPr>
          <w:p w14:paraId="02052485" w14:textId="77777777" w:rsidR="00763354" w:rsidRPr="006257A7" w:rsidRDefault="00763354" w:rsidP="00763354">
            <w:pPr>
              <w:rPr>
                <w:rFonts w:cs="Times New Roman"/>
                <w:b/>
                <w:szCs w:val="24"/>
                <w:highlight w:val="yellow"/>
              </w:rPr>
            </w:pPr>
            <w:r w:rsidRPr="006257A7">
              <w:rPr>
                <w:rFonts w:cs="Times New Roman"/>
                <w:b/>
                <w:szCs w:val="24"/>
              </w:rPr>
              <w:t>Neighbourhood SES</w:t>
            </w:r>
          </w:p>
        </w:tc>
        <w:tc>
          <w:tcPr>
            <w:tcW w:w="3697" w:type="pct"/>
          </w:tcPr>
          <w:p w14:paraId="1A56B5CB" w14:textId="77777777" w:rsidR="00763354" w:rsidRPr="006257A7" w:rsidRDefault="00763354" w:rsidP="00763354">
            <w:pPr>
              <w:spacing w:after="120"/>
              <w:rPr>
                <w:rFonts w:cs="Times New Roman"/>
                <w:szCs w:val="24"/>
                <w:lang w:bidi="en-US"/>
              </w:rPr>
            </w:pPr>
            <w:r w:rsidRPr="006257A7">
              <w:rPr>
                <w:rFonts w:cs="Times New Roman"/>
                <w:szCs w:val="24"/>
              </w:rPr>
              <w:t>In order to make the results comparable across provinces, we will use the Canadian Neighbourhood and Early Child Development (</w:t>
            </w:r>
            <w:proofErr w:type="spellStart"/>
            <w:r w:rsidRPr="006257A7">
              <w:rPr>
                <w:rFonts w:cs="Times New Roman"/>
                <w:szCs w:val="24"/>
              </w:rPr>
              <w:t>CanNECD</w:t>
            </w:r>
            <w:proofErr w:type="spellEnd"/>
            <w:r w:rsidRPr="006257A7">
              <w:rPr>
                <w:rFonts w:cs="Times New Roman"/>
                <w:szCs w:val="24"/>
              </w:rPr>
              <w:t>) SES Index, which has been matched to children’s postal codes across all of Canada and is part of the EDI database.</w:t>
            </w:r>
          </w:p>
        </w:tc>
      </w:tr>
      <w:tr w:rsidR="005B355D" w:rsidRPr="006257A7" w14:paraId="7B8AB114" w14:textId="77777777" w:rsidTr="002C496C">
        <w:tc>
          <w:tcPr>
            <w:tcW w:w="1303" w:type="pct"/>
          </w:tcPr>
          <w:p w14:paraId="133C9028" w14:textId="0EB1C7E6" w:rsidR="005B355D" w:rsidRPr="006257A7" w:rsidRDefault="0052748D" w:rsidP="00763354">
            <w:pPr>
              <w:rPr>
                <w:rFonts w:cs="Times New Roman"/>
                <w:b/>
                <w:szCs w:val="24"/>
              </w:rPr>
            </w:pPr>
            <w:r w:rsidRPr="006257A7">
              <w:rPr>
                <w:rFonts w:cs="Times New Roman"/>
                <w:b/>
                <w:szCs w:val="24"/>
              </w:rPr>
              <w:t>Family</w:t>
            </w:r>
            <w:r w:rsidR="005B355D" w:rsidRPr="006257A7">
              <w:rPr>
                <w:rFonts w:cs="Times New Roman"/>
                <w:b/>
                <w:szCs w:val="24"/>
              </w:rPr>
              <w:t xml:space="preserve"> SES</w:t>
            </w:r>
          </w:p>
        </w:tc>
        <w:tc>
          <w:tcPr>
            <w:tcW w:w="3697" w:type="pct"/>
          </w:tcPr>
          <w:p w14:paraId="3F9F90BB" w14:textId="77777777" w:rsidR="0052748D" w:rsidRPr="006257A7" w:rsidRDefault="005B355D" w:rsidP="004E197D">
            <w:pPr>
              <w:spacing w:after="120"/>
              <w:rPr>
                <w:rFonts w:cs="Times New Roman"/>
              </w:rPr>
            </w:pPr>
            <w:r w:rsidRPr="006257A7">
              <w:rPr>
                <w:rFonts w:cs="Times New Roman"/>
              </w:rPr>
              <w:t>This variable will be derived from</w:t>
            </w:r>
            <w:r w:rsidRPr="006257A7">
              <w:rPr>
                <w:rFonts w:cs="Times New Roman"/>
                <w:i/>
                <w:iCs/>
              </w:rPr>
              <w:t xml:space="preserve"> </w:t>
            </w:r>
            <w:r w:rsidRPr="006257A7">
              <w:rPr>
                <w:rFonts w:cs="Times New Roman"/>
              </w:rPr>
              <w:t xml:space="preserve">Census-based dissemination area-level income data based on the child’s residence in kindergarten. </w:t>
            </w:r>
          </w:p>
          <w:p w14:paraId="0EB25B6B" w14:textId="77777777" w:rsidR="00CD0515" w:rsidRPr="006257A7" w:rsidRDefault="005B355D" w:rsidP="004E197D">
            <w:pPr>
              <w:spacing w:after="120"/>
              <w:rPr>
                <w:rFonts w:cs="Times New Roman"/>
              </w:rPr>
            </w:pPr>
            <w:r w:rsidRPr="006257A7">
              <w:rPr>
                <w:rFonts w:cs="Times New Roman"/>
              </w:rPr>
              <w:t xml:space="preserve">For sensitivity analyses, we will use </w:t>
            </w:r>
            <w:r w:rsidR="0052748D" w:rsidRPr="006257A7">
              <w:rPr>
                <w:rFonts w:cs="Times New Roman"/>
              </w:rPr>
              <w:t xml:space="preserve">a different variable in each of the 3 provincial datasets that is indicative of </w:t>
            </w:r>
            <w:r w:rsidR="00C40C1B" w:rsidRPr="006257A7">
              <w:rPr>
                <w:rFonts w:cs="Times New Roman"/>
              </w:rPr>
              <w:t>low</w:t>
            </w:r>
            <w:r w:rsidR="0052748D" w:rsidRPr="006257A7">
              <w:rPr>
                <w:rFonts w:cs="Times New Roman"/>
              </w:rPr>
              <w:t xml:space="preserve"> income</w:t>
            </w:r>
            <w:r w:rsidR="00C40C1B" w:rsidRPr="006257A7">
              <w:rPr>
                <w:rFonts w:cs="Times New Roman"/>
              </w:rPr>
              <w:t>/poverty</w:t>
            </w:r>
            <w:r w:rsidR="0052748D" w:rsidRPr="006257A7">
              <w:rPr>
                <w:rFonts w:cs="Times New Roman"/>
              </w:rPr>
              <w:t xml:space="preserve">: </w:t>
            </w:r>
          </w:p>
          <w:p w14:paraId="55406047" w14:textId="01AE4B8F" w:rsidR="00CD0515" w:rsidRPr="006257A7" w:rsidRDefault="0052748D" w:rsidP="006257A7">
            <w:pPr>
              <w:pStyle w:val="ListParagraph"/>
              <w:numPr>
                <w:ilvl w:val="0"/>
                <w:numId w:val="14"/>
              </w:numPr>
              <w:spacing w:after="120"/>
              <w:rPr>
                <w:rFonts w:ascii="Garamond" w:hAnsi="Garamond" w:cs="Times New Roman"/>
              </w:rPr>
            </w:pPr>
            <w:r w:rsidRPr="006257A7">
              <w:rPr>
                <w:rFonts w:ascii="Garamond" w:hAnsi="Garamond" w:cs="Times New Roman"/>
              </w:rPr>
              <w:t xml:space="preserve">in Manitoba, a </w:t>
            </w:r>
            <w:r w:rsidR="005B355D" w:rsidRPr="006257A7">
              <w:rPr>
                <w:rFonts w:ascii="Garamond" w:hAnsi="Garamond" w:cs="Times New Roman"/>
              </w:rPr>
              <w:t xml:space="preserve">receipt of </w:t>
            </w:r>
            <w:r w:rsidR="00CD0515" w:rsidRPr="006257A7">
              <w:rPr>
                <w:rFonts w:ascii="Garamond" w:hAnsi="Garamond" w:cs="Times New Roman"/>
              </w:rPr>
              <w:t xml:space="preserve">Manitoba Employment and Income Assistance </w:t>
            </w:r>
            <w:r w:rsidR="005B355D" w:rsidRPr="006257A7">
              <w:rPr>
                <w:rFonts w:ascii="Garamond" w:hAnsi="Garamond" w:cs="Times New Roman"/>
              </w:rPr>
              <w:t xml:space="preserve">(a </w:t>
            </w:r>
            <w:r w:rsidR="00C40C1B" w:rsidRPr="006257A7">
              <w:rPr>
                <w:rFonts w:ascii="Garamond" w:hAnsi="Garamond" w:cs="Times New Roman"/>
              </w:rPr>
              <w:t>family</w:t>
            </w:r>
            <w:r w:rsidR="005B355D" w:rsidRPr="006257A7">
              <w:rPr>
                <w:rFonts w:ascii="Garamond" w:hAnsi="Garamond" w:cs="Times New Roman"/>
              </w:rPr>
              <w:t>-level variable</w:t>
            </w:r>
            <w:r w:rsidR="00CD0515" w:rsidRPr="006257A7">
              <w:rPr>
                <w:rFonts w:ascii="Garamond" w:hAnsi="Garamond" w:cs="Times New Roman"/>
              </w:rPr>
              <w:t xml:space="preserve">). </w:t>
            </w:r>
            <w:r w:rsidR="00CD0515" w:rsidRPr="006257A7">
              <w:rPr>
                <w:rFonts w:ascii="Garamond" w:hAnsi="Garamond"/>
              </w:rPr>
              <w:t>It is a monetary support allocated by the provincial government to individuals and their dependents who meet a standard financial need test that qualifies them for benefits. The total financial resources of the household are compared to the total cost of basic necessities including food, clothing, personal needs and household supplies, some medical costs, housing.</w:t>
            </w:r>
          </w:p>
          <w:p w14:paraId="07FCC6A1" w14:textId="00C628D4" w:rsidR="00CD0515" w:rsidRPr="006257A7" w:rsidRDefault="0052748D" w:rsidP="006257A7">
            <w:pPr>
              <w:pStyle w:val="ListParagraph"/>
              <w:numPr>
                <w:ilvl w:val="0"/>
                <w:numId w:val="14"/>
              </w:numPr>
              <w:spacing w:after="120"/>
              <w:rPr>
                <w:rFonts w:ascii="Garamond" w:hAnsi="Garamond" w:cs="Times New Roman"/>
              </w:rPr>
            </w:pPr>
            <w:r w:rsidRPr="006257A7">
              <w:rPr>
                <w:rFonts w:ascii="Garamond" w:hAnsi="Garamond" w:cs="Times New Roman"/>
              </w:rPr>
              <w:t xml:space="preserve">in </w:t>
            </w:r>
            <w:r w:rsidR="000D37C1" w:rsidRPr="006257A7">
              <w:rPr>
                <w:rFonts w:ascii="Garamond" w:hAnsi="Garamond" w:cs="Times New Roman"/>
              </w:rPr>
              <w:t>BC</w:t>
            </w:r>
            <w:r w:rsidR="00042046" w:rsidRPr="006257A7">
              <w:rPr>
                <w:rFonts w:ascii="Garamond" w:hAnsi="Garamond" w:cs="Times New Roman"/>
              </w:rPr>
              <w:t>,</w:t>
            </w:r>
            <w:r w:rsidR="005B355D" w:rsidRPr="006257A7">
              <w:rPr>
                <w:rFonts w:ascii="Garamond" w:hAnsi="Garamond" w:cs="Times New Roman"/>
              </w:rPr>
              <w:t xml:space="preserve"> </w:t>
            </w:r>
            <w:r w:rsidR="000D37C1" w:rsidRPr="006257A7">
              <w:rPr>
                <w:rFonts w:ascii="Garamond" w:hAnsi="Garamond" w:cs="Times New Roman"/>
              </w:rPr>
              <w:t xml:space="preserve">a </w:t>
            </w:r>
            <w:r w:rsidR="005B355D" w:rsidRPr="006257A7">
              <w:rPr>
                <w:rFonts w:ascii="Garamond" w:hAnsi="Garamond" w:cs="Times New Roman"/>
              </w:rPr>
              <w:t>receipt of the health insurance financial subsidy (a family-level variable)</w:t>
            </w:r>
            <w:r w:rsidR="00316E7E" w:rsidRPr="006257A7">
              <w:rPr>
                <w:rFonts w:ascii="Garamond" w:hAnsi="Garamond" w:cs="Times New Roman"/>
              </w:rPr>
              <w:t xml:space="preserve">. </w:t>
            </w:r>
            <w:r w:rsidR="000D37C1" w:rsidRPr="006257A7">
              <w:rPr>
                <w:rFonts w:ascii="Garamond" w:hAnsi="Garamond" w:cs="Times New Roman"/>
              </w:rPr>
              <w:t xml:space="preserve"> </w:t>
            </w:r>
            <w:r w:rsidR="00316E7E" w:rsidRPr="006257A7">
              <w:rPr>
                <w:rFonts w:ascii="Garamond" w:hAnsi="Garamond"/>
                <w:color w:val="222222"/>
              </w:rPr>
              <w:t xml:space="preserve">Families with a low household income (cut-off increased from $19,000 in 1993 to $28,000 in 2005) qualify for </w:t>
            </w:r>
            <w:r w:rsidR="00117C07" w:rsidRPr="006257A7">
              <w:rPr>
                <w:rFonts w:ascii="Garamond" w:hAnsi="Garamond"/>
                <w:color w:val="222222"/>
              </w:rPr>
              <w:t>Medical Service Plan (</w:t>
            </w:r>
            <w:r w:rsidR="00316E7E" w:rsidRPr="006257A7">
              <w:rPr>
                <w:rFonts w:ascii="Garamond" w:hAnsi="Garamond"/>
                <w:color w:val="222222"/>
              </w:rPr>
              <w:t>MSP</w:t>
            </w:r>
            <w:r w:rsidR="00117C07" w:rsidRPr="006257A7">
              <w:rPr>
                <w:rFonts w:ascii="Garamond" w:hAnsi="Garamond"/>
                <w:color w:val="222222"/>
              </w:rPr>
              <w:t>)</w:t>
            </w:r>
            <w:r w:rsidR="00316E7E" w:rsidRPr="006257A7">
              <w:rPr>
                <w:rFonts w:ascii="Garamond" w:hAnsi="Garamond"/>
                <w:color w:val="222222"/>
              </w:rPr>
              <w:t xml:space="preserve"> payment subsidies from the Ministry of Health.</w:t>
            </w:r>
          </w:p>
          <w:p w14:paraId="00B9F191" w14:textId="133F2DAE" w:rsidR="00117C07" w:rsidRPr="006257A7" w:rsidRDefault="000D37C1" w:rsidP="006257A7">
            <w:pPr>
              <w:pStyle w:val="ListParagraph"/>
              <w:numPr>
                <w:ilvl w:val="0"/>
                <w:numId w:val="14"/>
              </w:numPr>
              <w:spacing w:after="120"/>
              <w:rPr>
                <w:rFonts w:ascii="Garamond" w:hAnsi="Garamond" w:cs="Times New Roman"/>
              </w:rPr>
            </w:pPr>
            <w:r w:rsidRPr="006257A7">
              <w:rPr>
                <w:rFonts w:ascii="Garamond" w:hAnsi="Garamond" w:cs="Times New Roman"/>
              </w:rPr>
              <w:t xml:space="preserve">in Ontario, </w:t>
            </w:r>
            <w:r w:rsidR="00042046" w:rsidRPr="006257A7">
              <w:rPr>
                <w:rFonts w:ascii="Garamond" w:hAnsi="Garamond" w:cs="Times New Roman"/>
                <w:color w:val="000000"/>
              </w:rPr>
              <w:t xml:space="preserve">evidence of </w:t>
            </w:r>
            <w:r w:rsidR="005040CE" w:rsidRPr="006257A7">
              <w:rPr>
                <w:rFonts w:ascii="Garamond" w:hAnsi="Garamond" w:cs="Times New Roman"/>
                <w:color w:val="000000"/>
              </w:rPr>
              <w:t>Ontario D</w:t>
            </w:r>
            <w:r w:rsidR="00042046" w:rsidRPr="006257A7">
              <w:rPr>
                <w:rFonts w:ascii="Garamond" w:hAnsi="Garamond" w:cs="Times New Roman"/>
                <w:color w:val="000000"/>
              </w:rPr>
              <w:t xml:space="preserve">rug </w:t>
            </w:r>
            <w:r w:rsidR="005040CE" w:rsidRPr="006257A7">
              <w:rPr>
                <w:rFonts w:ascii="Garamond" w:hAnsi="Garamond" w:cs="Times New Roman"/>
                <w:color w:val="000000"/>
              </w:rPr>
              <w:t>B</w:t>
            </w:r>
            <w:r w:rsidR="00042046" w:rsidRPr="006257A7">
              <w:rPr>
                <w:rFonts w:ascii="Garamond" w:hAnsi="Garamond" w:cs="Times New Roman"/>
                <w:color w:val="000000"/>
              </w:rPr>
              <w:t xml:space="preserve">enefit </w:t>
            </w:r>
            <w:r w:rsidR="00117C07" w:rsidRPr="006257A7">
              <w:rPr>
                <w:rFonts w:ascii="Garamond" w:hAnsi="Garamond" w:cs="Times New Roman"/>
                <w:color w:val="000000"/>
              </w:rPr>
              <w:t xml:space="preserve">(ODB) </w:t>
            </w:r>
            <w:r w:rsidR="00042046" w:rsidRPr="006257A7">
              <w:rPr>
                <w:rFonts w:ascii="Garamond" w:hAnsi="Garamond" w:cs="Times New Roman"/>
                <w:color w:val="000000"/>
              </w:rPr>
              <w:t>claims</w:t>
            </w:r>
            <w:r w:rsidR="00117C07" w:rsidRPr="006257A7">
              <w:rPr>
                <w:rFonts w:ascii="Garamond" w:hAnsi="Garamond" w:cs="Times New Roman"/>
                <w:color w:val="000000"/>
              </w:rPr>
              <w:t xml:space="preserve">. </w:t>
            </w:r>
            <w:r w:rsidR="00042046" w:rsidRPr="006257A7">
              <w:rPr>
                <w:rFonts w:ascii="Garamond" w:hAnsi="Garamond" w:cs="Times New Roman"/>
                <w:color w:val="000000"/>
              </w:rPr>
              <w:t xml:space="preserve"> </w:t>
            </w:r>
            <w:r w:rsidR="00117C07" w:rsidRPr="006257A7">
              <w:rPr>
                <w:rFonts w:ascii="Garamond" w:hAnsi="Garamond" w:cs="Times New Roman"/>
                <w:color w:val="000000"/>
              </w:rPr>
              <w:t>The ODB claims</w:t>
            </w:r>
            <w:r w:rsidR="009120C7" w:rsidRPr="006257A7">
              <w:rPr>
                <w:rFonts w:ascii="Garamond" w:hAnsi="Garamond" w:cs="Times New Roman"/>
                <w:color w:val="000000"/>
              </w:rPr>
              <w:t xml:space="preserve"> cover both </w:t>
            </w:r>
            <w:proofErr w:type="gramStart"/>
            <w:r w:rsidR="009120C7" w:rsidRPr="006257A7">
              <w:rPr>
                <w:rFonts w:ascii="Garamond" w:hAnsi="Garamond" w:cs="Times New Roman"/>
                <w:color w:val="000000"/>
              </w:rPr>
              <w:t>over-the-counter</w:t>
            </w:r>
            <w:proofErr w:type="gramEnd"/>
            <w:r w:rsidR="009120C7" w:rsidRPr="006257A7">
              <w:rPr>
                <w:rFonts w:ascii="Garamond" w:hAnsi="Garamond" w:cs="Times New Roman"/>
                <w:color w:val="000000"/>
              </w:rPr>
              <w:t xml:space="preserve"> and prescription medications </w:t>
            </w:r>
            <w:r w:rsidR="00042046" w:rsidRPr="006257A7">
              <w:rPr>
                <w:rFonts w:ascii="Garamond" w:hAnsi="Garamond" w:cs="Times New Roman"/>
                <w:color w:val="000000"/>
              </w:rPr>
              <w:t xml:space="preserve">under </w:t>
            </w:r>
            <w:r w:rsidR="009120C7" w:rsidRPr="006257A7">
              <w:rPr>
                <w:rFonts w:ascii="Garamond" w:hAnsi="Garamond" w:cs="Times New Roman"/>
                <w:color w:val="000000"/>
              </w:rPr>
              <w:t xml:space="preserve">the social assistance program </w:t>
            </w:r>
            <w:r w:rsidR="00042046" w:rsidRPr="006257A7">
              <w:rPr>
                <w:rFonts w:ascii="Garamond" w:hAnsi="Garamond" w:cs="Times New Roman"/>
                <w:color w:val="000000"/>
              </w:rPr>
              <w:t>Ontario Works (mother or child)</w:t>
            </w:r>
            <w:r w:rsidR="005B355D" w:rsidRPr="006257A7">
              <w:rPr>
                <w:rFonts w:ascii="Garamond" w:hAnsi="Garamond" w:cs="Times New Roman"/>
              </w:rPr>
              <w:t xml:space="preserve">. </w:t>
            </w:r>
            <w:r w:rsidR="00117C07" w:rsidRPr="006257A7">
              <w:rPr>
                <w:rFonts w:ascii="Garamond" w:hAnsi="Garamond" w:cs="Times New Roman"/>
              </w:rPr>
              <w:t xml:space="preserve">Qualification for Ontario Works is based on </w:t>
            </w:r>
            <w:r w:rsidR="006257A7" w:rsidRPr="006257A7">
              <w:rPr>
                <w:rFonts w:ascii="Garamond" w:hAnsi="Garamond" w:cs="Times New Roman"/>
              </w:rPr>
              <w:t>financial circumstances assessed by government similarly to the formula described above for Manitoba.</w:t>
            </w:r>
          </w:p>
          <w:p w14:paraId="157318CA" w14:textId="0AFFC233" w:rsidR="005B355D" w:rsidRPr="006257A7" w:rsidRDefault="00117C07" w:rsidP="004E197D">
            <w:pPr>
              <w:spacing w:after="120"/>
              <w:rPr>
                <w:rFonts w:eastAsiaTheme="minorHAnsi" w:cs="Times New Roman"/>
              </w:rPr>
            </w:pPr>
            <w:r w:rsidRPr="006257A7">
              <w:rPr>
                <w:rFonts w:cs="Times New Roman"/>
              </w:rPr>
              <w:t xml:space="preserve">All these variables </w:t>
            </w:r>
            <w:r w:rsidR="005B355D" w:rsidRPr="006257A7">
              <w:rPr>
                <w:rFonts w:cs="Times New Roman"/>
              </w:rPr>
              <w:t>are binary</w:t>
            </w:r>
            <w:r w:rsidRPr="006257A7">
              <w:rPr>
                <w:rFonts w:cs="Times New Roman"/>
              </w:rPr>
              <w:t xml:space="preserve"> and </w:t>
            </w:r>
            <w:r w:rsidR="005B355D" w:rsidRPr="006257A7">
              <w:rPr>
                <w:rFonts w:cs="Times New Roman"/>
              </w:rPr>
              <w:t xml:space="preserve">available in the linked datasets. </w:t>
            </w:r>
          </w:p>
        </w:tc>
      </w:tr>
      <w:tr w:rsidR="009F720F" w:rsidRPr="006257A7" w14:paraId="20D1784E" w14:textId="0F415A71" w:rsidTr="009F720F">
        <w:tc>
          <w:tcPr>
            <w:tcW w:w="1303" w:type="pct"/>
          </w:tcPr>
          <w:p w14:paraId="0B4D0F3B" w14:textId="77777777" w:rsidR="009F720F" w:rsidRPr="006257A7" w:rsidRDefault="009F720F" w:rsidP="009F720F">
            <w:pPr>
              <w:rPr>
                <w:rFonts w:cs="Times New Roman"/>
                <w:b/>
                <w:szCs w:val="24"/>
              </w:rPr>
            </w:pPr>
            <w:r w:rsidRPr="006257A7">
              <w:rPr>
                <w:rFonts w:cs="Times New Roman"/>
                <w:b/>
                <w:szCs w:val="24"/>
              </w:rPr>
              <w:t>Geography (urban/rural)</w:t>
            </w:r>
          </w:p>
        </w:tc>
        <w:tc>
          <w:tcPr>
            <w:tcW w:w="3697" w:type="pct"/>
          </w:tcPr>
          <w:p w14:paraId="264DF1C6" w14:textId="23D920CC" w:rsidR="009F720F" w:rsidRPr="006257A7" w:rsidRDefault="009F720F" w:rsidP="00763354">
            <w:pPr>
              <w:spacing w:after="120"/>
              <w:rPr>
                <w:rFonts w:cs="Times New Roman"/>
                <w:szCs w:val="24"/>
                <w:lang w:bidi="en-US"/>
              </w:rPr>
            </w:pPr>
            <w:r w:rsidRPr="006257A7">
              <w:rPr>
                <w:rFonts w:cs="Times New Roman"/>
                <w:szCs w:val="24"/>
                <w:lang w:bidi="en-US"/>
              </w:rPr>
              <w:t xml:space="preserve">Urban and rural areas will be designated according to the neighbourhood definitions developed as part of the </w:t>
            </w:r>
            <w:proofErr w:type="spellStart"/>
            <w:r w:rsidRPr="006257A7">
              <w:rPr>
                <w:rFonts w:cs="Times New Roman"/>
                <w:szCs w:val="24"/>
                <w:lang w:bidi="en-US"/>
              </w:rPr>
              <w:t>CanNECD</w:t>
            </w:r>
            <w:proofErr w:type="spellEnd"/>
            <w:r w:rsidRPr="006257A7">
              <w:rPr>
                <w:rFonts w:cs="Times New Roman"/>
                <w:szCs w:val="24"/>
                <w:lang w:bidi="en-US"/>
              </w:rPr>
              <w:t xml:space="preserve"> study. </w:t>
            </w:r>
            <w:r w:rsidRPr="006257A7">
              <w:rPr>
                <w:rFonts w:cs="Times New Roman"/>
                <w:szCs w:val="24"/>
              </w:rPr>
              <w:t xml:space="preserve">Each </w:t>
            </w:r>
            <w:proofErr w:type="spellStart"/>
            <w:r w:rsidRPr="006257A7">
              <w:rPr>
                <w:rFonts w:cs="Times New Roman"/>
                <w:szCs w:val="24"/>
              </w:rPr>
              <w:t>CanNECD</w:t>
            </w:r>
            <w:proofErr w:type="spellEnd"/>
            <w:r w:rsidRPr="006257A7">
              <w:rPr>
                <w:rFonts w:cs="Times New Roman"/>
                <w:szCs w:val="24"/>
              </w:rPr>
              <w:t xml:space="preserve"> neighbourhood has been designed as either rural, urban, or a mix of both, based on a combination of population size, density, and census metropolitan area/census agglomeration status</w:t>
            </w:r>
            <w:r w:rsidR="001F1FAC" w:rsidRPr="006257A7">
              <w:rPr>
                <w:rFonts w:cs="Times New Roman"/>
                <w:szCs w:val="24"/>
              </w:rPr>
              <w:t xml:space="preserve"> </w:t>
            </w:r>
            <w:r w:rsidR="00302FC6" w:rsidRPr="006257A7">
              <w:rPr>
                <w:rFonts w:cs="Times New Roman"/>
                <w:szCs w:val="24"/>
              </w:rPr>
              <w:t>(Forer et al., 2019).</w:t>
            </w:r>
          </w:p>
        </w:tc>
      </w:tr>
      <w:tr w:rsidR="009F720F" w:rsidRPr="006257A7" w14:paraId="38A7022C" w14:textId="38F504C3" w:rsidTr="009F720F">
        <w:tc>
          <w:tcPr>
            <w:tcW w:w="1303" w:type="pct"/>
          </w:tcPr>
          <w:p w14:paraId="1F010F25" w14:textId="77777777" w:rsidR="009F720F" w:rsidRPr="006257A7" w:rsidRDefault="009F720F" w:rsidP="009F720F">
            <w:pPr>
              <w:rPr>
                <w:rFonts w:cs="Times New Roman"/>
                <w:b/>
                <w:szCs w:val="24"/>
              </w:rPr>
            </w:pPr>
            <w:r w:rsidRPr="006257A7">
              <w:rPr>
                <w:rFonts w:cs="Times New Roman"/>
                <w:b/>
                <w:szCs w:val="24"/>
              </w:rPr>
              <w:t>Maternal/child health</w:t>
            </w:r>
          </w:p>
        </w:tc>
        <w:tc>
          <w:tcPr>
            <w:tcW w:w="3697" w:type="pct"/>
          </w:tcPr>
          <w:p w14:paraId="06AECADF" w14:textId="60BE7454" w:rsidR="009F720F" w:rsidRPr="006257A7" w:rsidRDefault="009F720F" w:rsidP="009F720F">
            <w:pPr>
              <w:spacing w:after="120"/>
              <w:rPr>
                <w:rFonts w:cs="Times New Roman"/>
                <w:szCs w:val="24"/>
              </w:rPr>
            </w:pPr>
            <w:r w:rsidRPr="006257A7">
              <w:rPr>
                <w:rFonts w:cs="Times New Roman"/>
                <w:szCs w:val="24"/>
              </w:rPr>
              <w:t xml:space="preserve">Birth weight, gestational age, presence of complex </w:t>
            </w:r>
            <w:r w:rsidRPr="006257A7">
              <w:rPr>
                <w:rFonts w:cs="Times New Roman"/>
                <w:color w:val="000000" w:themeColor="text1"/>
                <w:szCs w:val="24"/>
                <w:shd w:val="clear" w:color="auto" w:fill="FFFFFF"/>
              </w:rPr>
              <w:t>chronic conditions or congenital anomalies, especially neurological ones using previously validated definitions, or a history of significant prenatal exposures including opioids and illicit substances (using neonatal abstinence syndrome and other diagnostic codes on the infants’ birth records); mother’s age at delivery.</w:t>
            </w:r>
          </w:p>
        </w:tc>
      </w:tr>
      <w:tr w:rsidR="009F720F" w:rsidRPr="006257A7" w14:paraId="2FB5D8CE" w14:textId="2E92128D" w:rsidTr="009F720F">
        <w:tc>
          <w:tcPr>
            <w:tcW w:w="1303" w:type="pct"/>
          </w:tcPr>
          <w:p w14:paraId="34705020" w14:textId="77777777" w:rsidR="009F720F" w:rsidRPr="006257A7" w:rsidRDefault="009F720F" w:rsidP="009F720F">
            <w:pPr>
              <w:rPr>
                <w:rFonts w:cs="Times New Roman"/>
                <w:b/>
                <w:szCs w:val="24"/>
              </w:rPr>
            </w:pPr>
            <w:r w:rsidRPr="006257A7">
              <w:rPr>
                <w:rFonts w:cs="Times New Roman"/>
                <w:b/>
                <w:szCs w:val="24"/>
              </w:rPr>
              <w:t>Immigrant status</w:t>
            </w:r>
          </w:p>
        </w:tc>
        <w:tc>
          <w:tcPr>
            <w:tcW w:w="3697" w:type="pct"/>
          </w:tcPr>
          <w:p w14:paraId="53BEA760" w14:textId="0B5AB31B" w:rsidR="009F720F" w:rsidRPr="006257A7" w:rsidRDefault="009F720F" w:rsidP="009F720F">
            <w:pPr>
              <w:spacing w:after="120"/>
              <w:rPr>
                <w:rFonts w:cs="Times New Roman"/>
                <w:szCs w:val="24"/>
                <w:lang w:bidi="en-US"/>
              </w:rPr>
            </w:pPr>
            <w:r w:rsidRPr="006257A7">
              <w:rPr>
                <w:rFonts w:cs="Times New Roman"/>
                <w:szCs w:val="24"/>
                <w:lang w:val="en-US"/>
              </w:rPr>
              <w:t xml:space="preserve">Information on age of arrival, generational status (1st and 2nd generation), country of origin, migration class </w:t>
            </w:r>
            <w:r w:rsidRPr="006257A7">
              <w:rPr>
                <w:rFonts w:cs="Times New Roman"/>
                <w:color w:val="000000" w:themeColor="text1"/>
                <w:szCs w:val="24"/>
                <w:shd w:val="clear" w:color="auto" w:fill="FFFFFF"/>
              </w:rPr>
              <w:t>(economic, family, refugee), and recency (&lt;5 years preceding the birth of the child, between 5 and 10 years, and over 10 years).</w:t>
            </w:r>
          </w:p>
        </w:tc>
      </w:tr>
      <w:tr w:rsidR="009F720F" w:rsidRPr="006257A7" w14:paraId="1DE86438" w14:textId="6D70526C" w:rsidTr="009F720F">
        <w:tc>
          <w:tcPr>
            <w:tcW w:w="1303" w:type="pct"/>
          </w:tcPr>
          <w:p w14:paraId="63870ECF" w14:textId="77777777" w:rsidR="009F720F" w:rsidRPr="006257A7" w:rsidRDefault="009F720F" w:rsidP="009F720F">
            <w:pPr>
              <w:rPr>
                <w:rFonts w:cs="Times New Roman"/>
                <w:b/>
                <w:szCs w:val="24"/>
              </w:rPr>
            </w:pPr>
            <w:r w:rsidRPr="006257A7">
              <w:rPr>
                <w:rFonts w:cs="Times New Roman"/>
                <w:b/>
                <w:szCs w:val="24"/>
              </w:rPr>
              <w:lastRenderedPageBreak/>
              <w:t>Usual provider of primary care</w:t>
            </w:r>
          </w:p>
        </w:tc>
        <w:tc>
          <w:tcPr>
            <w:tcW w:w="3697" w:type="pct"/>
          </w:tcPr>
          <w:p w14:paraId="4F4FFF3A" w14:textId="77777777" w:rsidR="009F720F" w:rsidRPr="006257A7" w:rsidRDefault="009F720F" w:rsidP="009F720F">
            <w:pPr>
              <w:rPr>
                <w:rFonts w:cs="Times New Roman"/>
              </w:rPr>
            </w:pPr>
            <w:r w:rsidRPr="006257A7">
              <w:rPr>
                <w:rFonts w:cs="Times New Roman"/>
                <w:szCs w:val="24"/>
                <w:lang w:bidi="en-US"/>
              </w:rPr>
              <w:t xml:space="preserve">Patients are allocated to their usual provider using the following algorithm: </w:t>
            </w:r>
            <w:r w:rsidRPr="006257A7">
              <w:rPr>
                <w:rFonts w:cs="Times New Roman"/>
              </w:rPr>
              <w:t xml:space="preserve"> </w:t>
            </w:r>
          </w:p>
          <w:p w14:paraId="4AFF40B7" w14:textId="77777777" w:rsidR="009F720F" w:rsidRPr="006257A7" w:rsidRDefault="009F720F" w:rsidP="009F720F">
            <w:pPr>
              <w:pStyle w:val="ListParagraph"/>
              <w:numPr>
                <w:ilvl w:val="0"/>
                <w:numId w:val="4"/>
              </w:numPr>
              <w:ind w:left="185" w:hanging="220"/>
              <w:rPr>
                <w:rFonts w:ascii="Garamond" w:hAnsi="Garamond" w:cs="Times New Roman"/>
                <w:lang w:bidi="en-US"/>
              </w:rPr>
            </w:pPr>
            <w:r w:rsidRPr="006257A7">
              <w:rPr>
                <w:rFonts w:ascii="Garamond" w:hAnsi="Garamond" w:cs="Times New Roman"/>
                <w:lang w:bidi="en-US"/>
              </w:rPr>
              <w:t xml:space="preserve">The patient is allocated to the provider with whom they had the most visits; in the event of a tie, providers with fewer visits with that patient are eliminated and the next step is performed with the remaining </w:t>
            </w:r>
            <w:proofErr w:type="gramStart"/>
            <w:r w:rsidRPr="006257A7">
              <w:rPr>
                <w:rFonts w:ascii="Garamond" w:hAnsi="Garamond" w:cs="Times New Roman"/>
                <w:lang w:bidi="en-US"/>
              </w:rPr>
              <w:t>providers;</w:t>
            </w:r>
            <w:proofErr w:type="gramEnd"/>
          </w:p>
          <w:p w14:paraId="3D6294DB" w14:textId="77777777" w:rsidR="009F720F" w:rsidRPr="006257A7" w:rsidRDefault="009F720F" w:rsidP="009F720F">
            <w:pPr>
              <w:pStyle w:val="ListParagraph"/>
              <w:numPr>
                <w:ilvl w:val="0"/>
                <w:numId w:val="4"/>
              </w:numPr>
              <w:ind w:left="185" w:hanging="220"/>
              <w:rPr>
                <w:rFonts w:ascii="Garamond" w:hAnsi="Garamond" w:cs="Times New Roman"/>
                <w:lang w:bidi="en-US"/>
              </w:rPr>
            </w:pPr>
            <w:r w:rsidRPr="006257A7">
              <w:rPr>
                <w:rFonts w:ascii="Garamond" w:hAnsi="Garamond" w:cs="Times New Roman"/>
                <w:lang w:bidi="en-US"/>
              </w:rPr>
              <w:t xml:space="preserve">The patient is allocated to the provider with the highest total billings; in the event of a tie, providers with lower total billings with that patient are eliminated from this process and the next step is performed with the remaining </w:t>
            </w:r>
            <w:proofErr w:type="gramStart"/>
            <w:r w:rsidRPr="006257A7">
              <w:rPr>
                <w:rFonts w:ascii="Garamond" w:hAnsi="Garamond" w:cs="Times New Roman"/>
                <w:lang w:bidi="en-US"/>
              </w:rPr>
              <w:t>providers;</w:t>
            </w:r>
            <w:proofErr w:type="gramEnd"/>
          </w:p>
          <w:p w14:paraId="09F57060" w14:textId="77777777" w:rsidR="009F720F" w:rsidRPr="006257A7" w:rsidRDefault="009F720F" w:rsidP="009F720F">
            <w:pPr>
              <w:pStyle w:val="ListParagraph"/>
              <w:numPr>
                <w:ilvl w:val="0"/>
                <w:numId w:val="4"/>
              </w:numPr>
              <w:spacing w:after="120"/>
              <w:ind w:left="187" w:hanging="221"/>
              <w:rPr>
                <w:rFonts w:ascii="Garamond" w:hAnsi="Garamond" w:cs="Times New Roman"/>
                <w:lang w:bidi="en-US"/>
              </w:rPr>
            </w:pPr>
            <w:r w:rsidRPr="006257A7">
              <w:rPr>
                <w:rFonts w:ascii="Garamond" w:hAnsi="Garamond" w:cs="Times New Roman"/>
                <w:lang w:bidi="en-US"/>
              </w:rPr>
              <w:t>The patient is allocated to one of the remaining primary care providers at random.</w:t>
            </w:r>
          </w:p>
        </w:tc>
      </w:tr>
      <w:tr w:rsidR="009F720F" w:rsidRPr="006257A7" w14:paraId="23BAD06C" w14:textId="4E80B10F" w:rsidTr="009F720F">
        <w:tc>
          <w:tcPr>
            <w:tcW w:w="1303" w:type="pct"/>
            <w:tcBorders>
              <w:bottom w:val="single" w:sz="4" w:space="0" w:color="BFBFBF" w:themeColor="background1" w:themeShade="BF"/>
            </w:tcBorders>
          </w:tcPr>
          <w:p w14:paraId="77598B36" w14:textId="77777777" w:rsidR="009F720F" w:rsidRPr="006257A7" w:rsidRDefault="009F720F" w:rsidP="009F720F">
            <w:pPr>
              <w:rPr>
                <w:rFonts w:cs="Times New Roman"/>
                <w:b/>
                <w:szCs w:val="24"/>
              </w:rPr>
            </w:pPr>
            <w:r w:rsidRPr="006257A7">
              <w:rPr>
                <w:rFonts w:cs="Times New Roman"/>
                <w:b/>
                <w:szCs w:val="24"/>
              </w:rPr>
              <w:t>Continuity of care</w:t>
            </w:r>
          </w:p>
        </w:tc>
        <w:tc>
          <w:tcPr>
            <w:tcW w:w="3697" w:type="pct"/>
            <w:tcBorders>
              <w:bottom w:val="single" w:sz="4" w:space="0" w:color="BFBFBF" w:themeColor="background1" w:themeShade="BF"/>
              <w:right w:val="single" w:sz="4" w:space="0" w:color="BFBFBF" w:themeColor="background1" w:themeShade="BF"/>
            </w:tcBorders>
          </w:tcPr>
          <w:p w14:paraId="413E92C6" w14:textId="4256BC4C" w:rsidR="009F720F" w:rsidRPr="006257A7" w:rsidRDefault="009F720F" w:rsidP="009F720F">
            <w:pPr>
              <w:spacing w:after="120"/>
              <w:rPr>
                <w:rFonts w:cs="Times New Roman"/>
                <w:szCs w:val="24"/>
                <w:lang w:bidi="en-US"/>
              </w:rPr>
            </w:pPr>
            <w:r w:rsidRPr="006257A7">
              <w:rPr>
                <w:rFonts w:cs="Times New Roman"/>
                <w:szCs w:val="24"/>
                <w:lang w:bidi="en-US"/>
              </w:rPr>
              <w:t>The Continuity of Care Index takes into account both the frequency of ambulatory visits to primary care providers and the dispersion of visit among different primary care providers. Index values range from 0-1, with lower values indicating that visits are made to different providers, and higher values indicating that visits are made to a single provider.</w:t>
            </w:r>
          </w:p>
        </w:tc>
      </w:tr>
      <w:tr w:rsidR="009F720F" w:rsidRPr="006257A7" w14:paraId="6A9A1D51" w14:textId="0BA9DCBC" w:rsidTr="009F720F">
        <w:tc>
          <w:tcPr>
            <w:tcW w:w="5000" w:type="pct"/>
            <w:gridSpan w:val="2"/>
            <w:tcBorders>
              <w:left w:val="nil"/>
              <w:bottom w:val="nil"/>
              <w:right w:val="nil"/>
            </w:tcBorders>
          </w:tcPr>
          <w:p w14:paraId="78639765" w14:textId="04FC2683" w:rsidR="009F720F" w:rsidRPr="006257A7" w:rsidRDefault="009F720F" w:rsidP="009F720F">
            <w:pPr>
              <w:rPr>
                <w:rFonts w:cs="Times New Roman"/>
                <w:b/>
                <w:sz w:val="18"/>
                <w:szCs w:val="24"/>
              </w:rPr>
            </w:pPr>
            <w:r w:rsidRPr="006257A7">
              <w:rPr>
                <w:rFonts w:cs="Times New Roman"/>
                <w:b/>
                <w:sz w:val="18"/>
                <w:szCs w:val="24"/>
              </w:rPr>
              <w:t>ADHD</w:t>
            </w:r>
            <w:r w:rsidRPr="006257A7">
              <w:rPr>
                <w:rFonts w:cs="Times New Roman"/>
                <w:sz w:val="18"/>
                <w:szCs w:val="24"/>
              </w:rPr>
              <w:t xml:space="preserve">: Attention Deficit-Hyperactivity Disorder; </w:t>
            </w:r>
            <w:proofErr w:type="spellStart"/>
            <w:r w:rsidRPr="006257A7">
              <w:rPr>
                <w:rFonts w:cs="Times New Roman"/>
                <w:b/>
                <w:sz w:val="18"/>
                <w:szCs w:val="24"/>
              </w:rPr>
              <w:t>CanNECD</w:t>
            </w:r>
            <w:proofErr w:type="spellEnd"/>
            <w:r w:rsidRPr="006257A7">
              <w:rPr>
                <w:rFonts w:cs="Times New Roman"/>
                <w:sz w:val="18"/>
                <w:szCs w:val="24"/>
              </w:rPr>
              <w:t xml:space="preserve">: Canadian Neighbourhood and Early Child Development; </w:t>
            </w:r>
            <w:r w:rsidRPr="006257A7">
              <w:rPr>
                <w:rFonts w:cs="Times New Roman"/>
                <w:b/>
                <w:sz w:val="18"/>
                <w:szCs w:val="24"/>
              </w:rPr>
              <w:t>EDI</w:t>
            </w:r>
            <w:r w:rsidRPr="006257A7">
              <w:rPr>
                <w:rFonts w:cs="Times New Roman"/>
                <w:sz w:val="18"/>
                <w:szCs w:val="24"/>
              </w:rPr>
              <w:t xml:space="preserve">: Early Development Instrument; </w:t>
            </w:r>
            <w:r w:rsidRPr="006257A7">
              <w:rPr>
                <w:rFonts w:cs="Times New Roman"/>
                <w:b/>
                <w:sz w:val="18"/>
                <w:szCs w:val="24"/>
              </w:rPr>
              <w:t>ICD</w:t>
            </w:r>
            <w:r w:rsidRPr="006257A7">
              <w:rPr>
                <w:rFonts w:cs="Times New Roman"/>
                <w:sz w:val="18"/>
                <w:szCs w:val="24"/>
              </w:rPr>
              <w:t xml:space="preserve">: International Classification of Disease; </w:t>
            </w:r>
            <w:r w:rsidRPr="006257A7">
              <w:rPr>
                <w:rFonts w:cs="Times New Roman"/>
                <w:b/>
                <w:sz w:val="18"/>
                <w:szCs w:val="24"/>
              </w:rPr>
              <w:t>SES</w:t>
            </w:r>
            <w:r w:rsidRPr="006257A7">
              <w:rPr>
                <w:rFonts w:cs="Times New Roman"/>
                <w:sz w:val="18"/>
                <w:szCs w:val="24"/>
              </w:rPr>
              <w:t xml:space="preserve">: socioeconomic status; </w:t>
            </w:r>
            <w:r w:rsidRPr="006257A7">
              <w:rPr>
                <w:rFonts w:cs="Times New Roman"/>
                <w:b/>
                <w:sz w:val="18"/>
                <w:szCs w:val="24"/>
              </w:rPr>
              <w:t>SHN</w:t>
            </w:r>
            <w:r w:rsidRPr="006257A7">
              <w:rPr>
                <w:rFonts w:cs="Times New Roman"/>
                <w:sz w:val="18"/>
                <w:szCs w:val="24"/>
              </w:rPr>
              <w:t xml:space="preserve">: special health needs. </w:t>
            </w:r>
          </w:p>
        </w:tc>
      </w:tr>
    </w:tbl>
    <w:p w14:paraId="15496C2E" w14:textId="1D9EE8D8" w:rsidR="00683181" w:rsidRPr="006257A7" w:rsidRDefault="00683181" w:rsidP="00115FC4">
      <w:pPr>
        <w:rPr>
          <w:rFonts w:eastAsiaTheme="majorEastAsia" w:cs="Times New Roman"/>
          <w:b/>
          <w:color w:val="2E74B5" w:themeColor="accent1" w:themeShade="BF"/>
          <w:szCs w:val="24"/>
        </w:rPr>
      </w:pPr>
    </w:p>
    <w:p w14:paraId="692FCB7B" w14:textId="2141A18E" w:rsidR="00117C07" w:rsidRPr="006257A7" w:rsidRDefault="00F167EA" w:rsidP="006257A7">
      <w:r w:rsidRPr="006257A7">
        <w:rPr>
          <w:rFonts w:cs="Times New Roman"/>
          <w:b/>
          <w:bCs/>
        </w:rPr>
        <w:t>References</w:t>
      </w:r>
      <w:r w:rsidRPr="006257A7">
        <w:rPr>
          <w:rFonts w:cs="Times New Roman"/>
        </w:rPr>
        <w:br/>
      </w:r>
      <w:r w:rsidR="00117C07" w:rsidRPr="006257A7">
        <w:t xml:space="preserve">Brownell M, </w:t>
      </w:r>
      <w:proofErr w:type="spellStart"/>
      <w:r w:rsidR="00117C07" w:rsidRPr="006257A7">
        <w:t>Chartier</w:t>
      </w:r>
      <w:proofErr w:type="spellEnd"/>
      <w:r w:rsidR="00117C07" w:rsidRPr="006257A7">
        <w:t xml:space="preserve"> M, Au W, </w:t>
      </w:r>
      <w:proofErr w:type="spellStart"/>
      <w:r w:rsidR="00117C07" w:rsidRPr="006257A7">
        <w:t>MacWilliam</w:t>
      </w:r>
      <w:proofErr w:type="spellEnd"/>
      <w:r w:rsidR="00117C07" w:rsidRPr="006257A7">
        <w:t xml:space="preserve"> L, Schultz J, Guenette W, Valdivia J. </w:t>
      </w:r>
      <w:r w:rsidR="00562212">
        <w:t xml:space="preserve">2015. </w:t>
      </w:r>
      <w:r w:rsidR="00117C07" w:rsidRPr="006257A7">
        <w:t>Education outcomes of children in care. Manitoba Centre for Health Policy</w:t>
      </w:r>
      <w:r w:rsidR="00562212">
        <w:t>.</w:t>
      </w:r>
    </w:p>
    <w:p w14:paraId="74575AFE" w14:textId="5F80CF8A" w:rsidR="00256099" w:rsidRPr="006257A7" w:rsidRDefault="00256099" w:rsidP="00115FC4">
      <w:pPr>
        <w:rPr>
          <w:rFonts w:eastAsiaTheme="majorEastAsia" w:cs="Times New Roman"/>
          <w:b/>
          <w:color w:val="2E74B5" w:themeColor="accent1" w:themeShade="BF"/>
          <w:szCs w:val="24"/>
        </w:rPr>
      </w:pPr>
      <w:r w:rsidRPr="00562212">
        <w:rPr>
          <w:rFonts w:cs="Times New Roman"/>
          <w:lang w:val="fr-CA"/>
        </w:rPr>
        <w:t xml:space="preserve">Forer B, Minh A, Enns J, et al. </w:t>
      </w:r>
      <w:r w:rsidR="00562212" w:rsidRPr="00562212">
        <w:rPr>
          <w:rFonts w:cs="Times New Roman"/>
          <w:lang w:val="fr-CA"/>
        </w:rPr>
        <w:t xml:space="preserve">2019. </w:t>
      </w:r>
      <w:r w:rsidRPr="006257A7">
        <w:rPr>
          <w:rFonts w:cs="Times New Roman"/>
        </w:rPr>
        <w:t xml:space="preserve">A Canadian neighbourhood index for socioeconomic status associated with early child development. </w:t>
      </w:r>
      <w:r w:rsidRPr="006257A7">
        <w:rPr>
          <w:rFonts w:cs="Times New Roman"/>
          <w:i/>
          <w:iCs/>
        </w:rPr>
        <w:t>Child Ind Res</w:t>
      </w:r>
      <w:r w:rsidRPr="006257A7">
        <w:rPr>
          <w:rFonts w:cs="Times New Roman"/>
        </w:rPr>
        <w:t>. 2019. doi:10.1007/s12187-019-09666-y</w:t>
      </w:r>
    </w:p>
    <w:p w14:paraId="5581E211" w14:textId="1B3DDCA0" w:rsidR="004E197D" w:rsidRPr="006257A7" w:rsidRDefault="004E197D">
      <w:pPr>
        <w:rPr>
          <w:rFonts w:eastAsiaTheme="majorEastAsia" w:cs="Times New Roman"/>
          <w:b/>
          <w:color w:val="2E74B5" w:themeColor="accent1" w:themeShade="BF"/>
          <w:szCs w:val="24"/>
        </w:rPr>
      </w:pPr>
    </w:p>
    <w:sectPr w:rsidR="004E197D" w:rsidRPr="006257A7" w:rsidSect="00FB5455">
      <w:headerReference w:type="even" r:id="rId7"/>
      <w:headerReference w:type="default" r:id="rId8"/>
      <w:footerReference w:type="even" r:id="rId9"/>
      <w:footerReference w:type="default" r:id="rId10"/>
      <w:headerReference w:type="first" r:id="rId11"/>
      <w:footerReference w:type="first" r:id="rId12"/>
      <w:pgSz w:w="12240" w:h="15840"/>
      <w:pgMar w:top="1236" w:right="993" w:bottom="123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A51A5" w14:textId="77777777" w:rsidR="000B7251" w:rsidRDefault="000B7251" w:rsidP="0056016B">
      <w:pPr>
        <w:spacing w:after="0" w:line="240" w:lineRule="auto"/>
      </w:pPr>
      <w:r>
        <w:separator/>
      </w:r>
    </w:p>
  </w:endnote>
  <w:endnote w:type="continuationSeparator" w:id="0">
    <w:p w14:paraId="2062DBEB" w14:textId="77777777" w:rsidR="000B7251" w:rsidRDefault="000B7251" w:rsidP="0056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CCNJ+Calibri">
    <w:altName w:val="LACCNJ+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ACCNI+Calibri">
    <w:altName w:val="LACCNI+Calibri"/>
    <w:panose1 w:val="020B0604020202020204"/>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89C8C" w14:textId="77777777" w:rsidR="00691155" w:rsidRDefault="00691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F2E0" w14:textId="77777777" w:rsidR="00286153" w:rsidRDefault="00286153">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92B5A" w14:textId="77777777" w:rsidR="00691155" w:rsidRDefault="00691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3F397" w14:textId="77777777" w:rsidR="000B7251" w:rsidRDefault="000B7251" w:rsidP="0056016B">
      <w:pPr>
        <w:spacing w:after="0" w:line="240" w:lineRule="auto"/>
      </w:pPr>
      <w:r>
        <w:separator/>
      </w:r>
    </w:p>
  </w:footnote>
  <w:footnote w:type="continuationSeparator" w:id="0">
    <w:p w14:paraId="16951CE4" w14:textId="77777777" w:rsidR="000B7251" w:rsidRDefault="000B7251" w:rsidP="00560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73995" w14:textId="77777777" w:rsidR="00691155" w:rsidRDefault="00691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7AA91" w14:textId="279A429E" w:rsidR="000F31B6" w:rsidRPr="00691155" w:rsidRDefault="000F31B6" w:rsidP="000F31B6">
    <w:pPr>
      <w:pStyle w:val="Header"/>
      <w:tabs>
        <w:tab w:val="clear" w:pos="4680"/>
        <w:tab w:val="clear" w:pos="9360"/>
        <w:tab w:val="center" w:pos="4950"/>
        <w:tab w:val="center" w:pos="5940"/>
        <w:tab w:val="left" w:pos="9180"/>
        <w:tab w:val="right" w:pos="9720"/>
        <w:tab w:val="right" w:pos="10065"/>
      </w:tabs>
      <w:rPr>
        <w:rFonts w:ascii="Garamond" w:hAnsi="Garamond"/>
        <w:i/>
        <w:u w:val="single"/>
      </w:rPr>
    </w:pPr>
    <w:r w:rsidRPr="00691155">
      <w:rPr>
        <w:rFonts w:ascii="Garamond" w:hAnsi="Garamond"/>
        <w:i/>
        <w:u w:val="single"/>
      </w:rPr>
      <w:t>Janus et al.</w:t>
    </w:r>
    <w:r w:rsidRPr="00691155">
      <w:rPr>
        <w:rFonts w:ascii="Garamond" w:hAnsi="Garamond"/>
        <w:i/>
        <w:u w:val="single"/>
      </w:rPr>
      <w:tab/>
      <w:t xml:space="preserve">         </w:t>
    </w:r>
    <w:r w:rsidR="0068404C" w:rsidRPr="00691155">
      <w:rPr>
        <w:rFonts w:ascii="Garamond" w:hAnsi="Garamond"/>
        <w:b/>
        <w:i/>
        <w:u w:val="single"/>
      </w:rPr>
      <w:t>Mental Disorders in Children with Special Health Needs</w:t>
    </w:r>
    <w:r w:rsidRPr="00691155">
      <w:rPr>
        <w:rFonts w:ascii="Garamond" w:hAnsi="Garamond"/>
        <w:b/>
        <w:i/>
        <w:u w:val="single"/>
      </w:rPr>
      <w:tab/>
    </w:r>
    <w:r w:rsidRPr="00691155">
      <w:rPr>
        <w:rFonts w:ascii="Garamond" w:hAnsi="Garamond"/>
        <w:i/>
        <w:u w:val="single"/>
      </w:rPr>
      <w:t>Appendix 1</w:t>
    </w:r>
  </w:p>
  <w:p w14:paraId="646FEB9A" w14:textId="77777777" w:rsidR="000F31B6" w:rsidRDefault="000F31B6" w:rsidP="000F31B6">
    <w:pPr>
      <w:pStyle w:val="Header"/>
      <w:tabs>
        <w:tab w:val="clear" w:pos="9360"/>
        <w:tab w:val="right" w:pos="9630"/>
        <w:tab w:val="left" w:pos="10260"/>
      </w:tabs>
      <w:ind w:right="-54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481FC" w14:textId="77777777" w:rsidR="00691155" w:rsidRDefault="00691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369E1"/>
    <w:multiLevelType w:val="hybridMultilevel"/>
    <w:tmpl w:val="4D8A06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CA1D86"/>
    <w:multiLevelType w:val="hybridMultilevel"/>
    <w:tmpl w:val="19A8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016E9"/>
    <w:multiLevelType w:val="hybridMultilevel"/>
    <w:tmpl w:val="BDA29D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B7E23D8"/>
    <w:multiLevelType w:val="hybridMultilevel"/>
    <w:tmpl w:val="106C3D9E"/>
    <w:lvl w:ilvl="0" w:tplc="0F6A9240">
      <w:start w:val="1"/>
      <w:numFmt w:val="bullet"/>
      <w:lvlText w:val="-"/>
      <w:lvlJc w:val="left"/>
      <w:pPr>
        <w:ind w:left="720" w:hanging="360"/>
      </w:pPr>
      <w:rPr>
        <w:rFonts w:ascii="Garamond" w:eastAsiaTheme="minorEastAsia"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64F13"/>
    <w:multiLevelType w:val="hybridMultilevel"/>
    <w:tmpl w:val="B0345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941A66"/>
    <w:multiLevelType w:val="hybridMultilevel"/>
    <w:tmpl w:val="2B7CBF1E"/>
    <w:lvl w:ilvl="0" w:tplc="0B14719E">
      <w:start w:val="36"/>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83A57"/>
    <w:multiLevelType w:val="hybridMultilevel"/>
    <w:tmpl w:val="BAFA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469EC"/>
    <w:multiLevelType w:val="hybridMultilevel"/>
    <w:tmpl w:val="B0FA0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7907962"/>
    <w:multiLevelType w:val="hybridMultilevel"/>
    <w:tmpl w:val="D1CAA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BA46585"/>
    <w:multiLevelType w:val="hybridMultilevel"/>
    <w:tmpl w:val="BD2CB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3E3B54"/>
    <w:multiLevelType w:val="hybridMultilevel"/>
    <w:tmpl w:val="AD2058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5BB16BC"/>
    <w:multiLevelType w:val="hybridMultilevel"/>
    <w:tmpl w:val="C7663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C8B5ECD"/>
    <w:multiLevelType w:val="hybridMultilevel"/>
    <w:tmpl w:val="40265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150AE"/>
    <w:multiLevelType w:val="hybridMultilevel"/>
    <w:tmpl w:val="DBA4C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BA11606"/>
    <w:multiLevelType w:val="hybridMultilevel"/>
    <w:tmpl w:val="FB442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4"/>
  </w:num>
  <w:num w:numId="4">
    <w:abstractNumId w:val="8"/>
  </w:num>
  <w:num w:numId="5">
    <w:abstractNumId w:val="2"/>
  </w:num>
  <w:num w:numId="6">
    <w:abstractNumId w:val="12"/>
  </w:num>
  <w:num w:numId="7">
    <w:abstractNumId w:val="1"/>
  </w:num>
  <w:num w:numId="8">
    <w:abstractNumId w:val="5"/>
  </w:num>
  <w:num w:numId="9">
    <w:abstractNumId w:val="13"/>
  </w:num>
  <w:num w:numId="10">
    <w:abstractNumId w:val="0"/>
  </w:num>
  <w:num w:numId="11">
    <w:abstractNumId w:val="11"/>
  </w:num>
  <w:num w:numId="12">
    <w:abstractNumId w:val="9"/>
  </w:num>
  <w:num w:numId="13">
    <w:abstractNumId w:val="7"/>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EA"/>
    <w:rsid w:val="0000643B"/>
    <w:rsid w:val="00022EBB"/>
    <w:rsid w:val="00033FC9"/>
    <w:rsid w:val="00042046"/>
    <w:rsid w:val="000827EB"/>
    <w:rsid w:val="000A4C7F"/>
    <w:rsid w:val="000B6915"/>
    <w:rsid w:val="000B7251"/>
    <w:rsid w:val="000D37C1"/>
    <w:rsid w:val="000F31B6"/>
    <w:rsid w:val="001112DE"/>
    <w:rsid w:val="00115FC4"/>
    <w:rsid w:val="00117C07"/>
    <w:rsid w:val="0013155D"/>
    <w:rsid w:val="00154B12"/>
    <w:rsid w:val="0017254A"/>
    <w:rsid w:val="001911C2"/>
    <w:rsid w:val="001B3354"/>
    <w:rsid w:val="001F1FAC"/>
    <w:rsid w:val="00200BE6"/>
    <w:rsid w:val="002479C7"/>
    <w:rsid w:val="00256099"/>
    <w:rsid w:val="00286153"/>
    <w:rsid w:val="00292A33"/>
    <w:rsid w:val="002B4164"/>
    <w:rsid w:val="002C07E4"/>
    <w:rsid w:val="002D1FD0"/>
    <w:rsid w:val="002F5401"/>
    <w:rsid w:val="00302FC6"/>
    <w:rsid w:val="00307888"/>
    <w:rsid w:val="00316E7E"/>
    <w:rsid w:val="00326A24"/>
    <w:rsid w:val="00333A6E"/>
    <w:rsid w:val="00342CB6"/>
    <w:rsid w:val="00342DF8"/>
    <w:rsid w:val="003814CC"/>
    <w:rsid w:val="003A0DFA"/>
    <w:rsid w:val="003D0F11"/>
    <w:rsid w:val="003F2D90"/>
    <w:rsid w:val="00411817"/>
    <w:rsid w:val="00417316"/>
    <w:rsid w:val="00437A96"/>
    <w:rsid w:val="00455AF8"/>
    <w:rsid w:val="004E197D"/>
    <w:rsid w:val="004E51FE"/>
    <w:rsid w:val="004E57BA"/>
    <w:rsid w:val="004F54D4"/>
    <w:rsid w:val="005040CE"/>
    <w:rsid w:val="00511A62"/>
    <w:rsid w:val="00524A74"/>
    <w:rsid w:val="0052748D"/>
    <w:rsid w:val="00530782"/>
    <w:rsid w:val="00556509"/>
    <w:rsid w:val="0056016B"/>
    <w:rsid w:val="00560941"/>
    <w:rsid w:val="00562212"/>
    <w:rsid w:val="00563CED"/>
    <w:rsid w:val="005B0E7D"/>
    <w:rsid w:val="005B355D"/>
    <w:rsid w:val="005B72E4"/>
    <w:rsid w:val="005C78C7"/>
    <w:rsid w:val="005D29A3"/>
    <w:rsid w:val="005E6BAC"/>
    <w:rsid w:val="00612708"/>
    <w:rsid w:val="00612F83"/>
    <w:rsid w:val="0061526D"/>
    <w:rsid w:val="00620817"/>
    <w:rsid w:val="006257A7"/>
    <w:rsid w:val="006318CB"/>
    <w:rsid w:val="00653550"/>
    <w:rsid w:val="0066467A"/>
    <w:rsid w:val="00666F94"/>
    <w:rsid w:val="00683181"/>
    <w:rsid w:val="0068404C"/>
    <w:rsid w:val="006909FA"/>
    <w:rsid w:val="00691155"/>
    <w:rsid w:val="00691D01"/>
    <w:rsid w:val="006E59A4"/>
    <w:rsid w:val="007239C0"/>
    <w:rsid w:val="00727C45"/>
    <w:rsid w:val="007624DA"/>
    <w:rsid w:val="0076293A"/>
    <w:rsid w:val="00763354"/>
    <w:rsid w:val="00765BAC"/>
    <w:rsid w:val="00781660"/>
    <w:rsid w:val="00785CBA"/>
    <w:rsid w:val="007A44FC"/>
    <w:rsid w:val="007D5044"/>
    <w:rsid w:val="00810274"/>
    <w:rsid w:val="00832834"/>
    <w:rsid w:val="00857C36"/>
    <w:rsid w:val="00864B08"/>
    <w:rsid w:val="00871E74"/>
    <w:rsid w:val="008A7D46"/>
    <w:rsid w:val="008C1F29"/>
    <w:rsid w:val="008C4604"/>
    <w:rsid w:val="008D26E0"/>
    <w:rsid w:val="008F7C0D"/>
    <w:rsid w:val="00910894"/>
    <w:rsid w:val="009120C7"/>
    <w:rsid w:val="00924AB3"/>
    <w:rsid w:val="00927D16"/>
    <w:rsid w:val="009323BC"/>
    <w:rsid w:val="00942FEA"/>
    <w:rsid w:val="009557DB"/>
    <w:rsid w:val="00963F69"/>
    <w:rsid w:val="0096581D"/>
    <w:rsid w:val="00977A21"/>
    <w:rsid w:val="009B4680"/>
    <w:rsid w:val="009F720F"/>
    <w:rsid w:val="00A00D01"/>
    <w:rsid w:val="00A36C86"/>
    <w:rsid w:val="00A4087F"/>
    <w:rsid w:val="00A47988"/>
    <w:rsid w:val="00A54C15"/>
    <w:rsid w:val="00A70F2B"/>
    <w:rsid w:val="00AA2865"/>
    <w:rsid w:val="00AB4E15"/>
    <w:rsid w:val="00AC56A0"/>
    <w:rsid w:val="00AE55CB"/>
    <w:rsid w:val="00B11FA5"/>
    <w:rsid w:val="00B50D95"/>
    <w:rsid w:val="00B90FDE"/>
    <w:rsid w:val="00B94CD6"/>
    <w:rsid w:val="00BA5625"/>
    <w:rsid w:val="00BD1940"/>
    <w:rsid w:val="00BD2BEF"/>
    <w:rsid w:val="00BD39A4"/>
    <w:rsid w:val="00BE15B8"/>
    <w:rsid w:val="00BE219E"/>
    <w:rsid w:val="00BF4EAA"/>
    <w:rsid w:val="00C21BE9"/>
    <w:rsid w:val="00C22693"/>
    <w:rsid w:val="00C351EB"/>
    <w:rsid w:val="00C4045F"/>
    <w:rsid w:val="00C40C1B"/>
    <w:rsid w:val="00C56E9F"/>
    <w:rsid w:val="00C65165"/>
    <w:rsid w:val="00C70B17"/>
    <w:rsid w:val="00C76B43"/>
    <w:rsid w:val="00CC2025"/>
    <w:rsid w:val="00CD0515"/>
    <w:rsid w:val="00D001EA"/>
    <w:rsid w:val="00D17AE8"/>
    <w:rsid w:val="00D24476"/>
    <w:rsid w:val="00D4464F"/>
    <w:rsid w:val="00D84EB6"/>
    <w:rsid w:val="00DB304F"/>
    <w:rsid w:val="00DD0E73"/>
    <w:rsid w:val="00DF1E83"/>
    <w:rsid w:val="00E423AD"/>
    <w:rsid w:val="00E44A92"/>
    <w:rsid w:val="00E46A76"/>
    <w:rsid w:val="00E6113B"/>
    <w:rsid w:val="00EB0AEF"/>
    <w:rsid w:val="00EC1C65"/>
    <w:rsid w:val="00EE40B6"/>
    <w:rsid w:val="00F167EA"/>
    <w:rsid w:val="00F83359"/>
    <w:rsid w:val="00F83FAF"/>
    <w:rsid w:val="00FB5455"/>
    <w:rsid w:val="00FC1A9D"/>
    <w:rsid w:val="00FC739D"/>
    <w:rsid w:val="00FF1C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3D33"/>
  <w15:chartTrackingRefBased/>
  <w15:docId w15:val="{B64FB7D9-0106-4524-B1F1-5A6C91C1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2FEA"/>
    <w:rPr>
      <w:rFonts w:ascii="Garamond" w:eastAsiaTheme="minorEastAsia" w:hAnsi="Garamond"/>
      <w:sz w:val="24"/>
    </w:rPr>
  </w:style>
  <w:style w:type="paragraph" w:styleId="Heading1">
    <w:name w:val="heading 1"/>
    <w:basedOn w:val="Normal"/>
    <w:next w:val="Normal"/>
    <w:link w:val="Heading1Char"/>
    <w:uiPriority w:val="9"/>
    <w:qFormat/>
    <w:rsid w:val="00CD05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2FEA"/>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2FEA"/>
    <w:rPr>
      <w:rFonts w:asciiTheme="majorHAnsi" w:eastAsiaTheme="majorEastAsia" w:hAnsiTheme="majorHAnsi" w:cstheme="majorBidi"/>
      <w:color w:val="2E74B5" w:themeColor="accent1" w:themeShade="BF"/>
      <w:sz w:val="26"/>
      <w:szCs w:val="26"/>
      <w:lang w:val="en-US"/>
    </w:rPr>
  </w:style>
  <w:style w:type="paragraph" w:styleId="Header">
    <w:name w:val="header"/>
    <w:basedOn w:val="Normal"/>
    <w:link w:val="HeaderChar"/>
    <w:uiPriority w:val="99"/>
    <w:unhideWhenUsed/>
    <w:rsid w:val="00942FEA"/>
    <w:pPr>
      <w:tabs>
        <w:tab w:val="center" w:pos="4680"/>
        <w:tab w:val="right" w:pos="9360"/>
      </w:tabs>
      <w:spacing w:after="0" w:line="240" w:lineRule="auto"/>
    </w:pPr>
    <w:rPr>
      <w:rFonts w:asciiTheme="minorHAnsi" w:hAnsiTheme="minorHAnsi"/>
      <w:sz w:val="22"/>
      <w:lang w:val="en-US"/>
    </w:rPr>
  </w:style>
  <w:style w:type="character" w:customStyle="1" w:styleId="HeaderChar">
    <w:name w:val="Header Char"/>
    <w:basedOn w:val="DefaultParagraphFont"/>
    <w:link w:val="Header"/>
    <w:uiPriority w:val="99"/>
    <w:rsid w:val="00942FEA"/>
    <w:rPr>
      <w:lang w:val="en-US"/>
    </w:rPr>
  </w:style>
  <w:style w:type="paragraph" w:styleId="Footer">
    <w:name w:val="footer"/>
    <w:basedOn w:val="Normal"/>
    <w:link w:val="FooterChar"/>
    <w:uiPriority w:val="99"/>
    <w:unhideWhenUsed/>
    <w:rsid w:val="00942FEA"/>
    <w:pPr>
      <w:tabs>
        <w:tab w:val="center" w:pos="4680"/>
        <w:tab w:val="right" w:pos="9360"/>
      </w:tabs>
      <w:spacing w:after="0" w:line="240" w:lineRule="auto"/>
    </w:pPr>
    <w:rPr>
      <w:rFonts w:asciiTheme="minorHAnsi" w:hAnsiTheme="minorHAnsi"/>
      <w:sz w:val="22"/>
      <w:lang w:val="en-US"/>
    </w:rPr>
  </w:style>
  <w:style w:type="character" w:customStyle="1" w:styleId="FooterChar">
    <w:name w:val="Footer Char"/>
    <w:basedOn w:val="DefaultParagraphFont"/>
    <w:link w:val="Footer"/>
    <w:uiPriority w:val="99"/>
    <w:rsid w:val="00942FEA"/>
    <w:rPr>
      <w:lang w:val="en-US"/>
    </w:rPr>
  </w:style>
  <w:style w:type="table" w:styleId="TableGrid">
    <w:name w:val="Table Grid"/>
    <w:basedOn w:val="TableNormal"/>
    <w:uiPriority w:val="59"/>
    <w:rsid w:val="00942FE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5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CBA"/>
    <w:rPr>
      <w:rFonts w:ascii="Segoe UI" w:hAnsi="Segoe UI" w:cs="Segoe UI"/>
      <w:sz w:val="18"/>
      <w:szCs w:val="18"/>
    </w:rPr>
  </w:style>
  <w:style w:type="paragraph" w:styleId="ListParagraph">
    <w:name w:val="List Paragraph"/>
    <w:basedOn w:val="Normal"/>
    <w:uiPriority w:val="34"/>
    <w:qFormat/>
    <w:rsid w:val="006E59A4"/>
    <w:pPr>
      <w:spacing w:after="0" w:line="240" w:lineRule="auto"/>
      <w:ind w:left="720"/>
    </w:pPr>
    <w:rPr>
      <w:rFonts w:ascii="Calibri" w:eastAsia="Times New Roman" w:hAnsi="Calibri" w:cs="Calibri"/>
      <w:szCs w:val="24"/>
    </w:rPr>
  </w:style>
  <w:style w:type="character" w:styleId="CommentReference">
    <w:name w:val="annotation reference"/>
    <w:basedOn w:val="DefaultParagraphFont"/>
    <w:uiPriority w:val="99"/>
    <w:semiHidden/>
    <w:unhideWhenUsed/>
    <w:rsid w:val="006E59A4"/>
    <w:rPr>
      <w:sz w:val="16"/>
      <w:szCs w:val="16"/>
    </w:rPr>
  </w:style>
  <w:style w:type="paragraph" w:styleId="CommentText">
    <w:name w:val="annotation text"/>
    <w:basedOn w:val="Normal"/>
    <w:link w:val="CommentTextChar"/>
    <w:uiPriority w:val="99"/>
    <w:unhideWhenUsed/>
    <w:rsid w:val="006E59A4"/>
    <w:pPr>
      <w:spacing w:line="240" w:lineRule="auto"/>
    </w:pPr>
    <w:rPr>
      <w:sz w:val="20"/>
      <w:szCs w:val="20"/>
    </w:rPr>
  </w:style>
  <w:style w:type="character" w:customStyle="1" w:styleId="CommentTextChar">
    <w:name w:val="Comment Text Char"/>
    <w:basedOn w:val="DefaultParagraphFont"/>
    <w:link w:val="CommentText"/>
    <w:uiPriority w:val="99"/>
    <w:rsid w:val="006E59A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6E59A4"/>
    <w:rPr>
      <w:b/>
      <w:bCs/>
    </w:rPr>
  </w:style>
  <w:style w:type="character" w:customStyle="1" w:styleId="CommentSubjectChar">
    <w:name w:val="Comment Subject Char"/>
    <w:basedOn w:val="CommentTextChar"/>
    <w:link w:val="CommentSubject"/>
    <w:uiPriority w:val="99"/>
    <w:semiHidden/>
    <w:rsid w:val="006E59A4"/>
    <w:rPr>
      <w:rFonts w:ascii="Garamond" w:hAnsi="Garamond"/>
      <w:b/>
      <w:bCs/>
      <w:sz w:val="20"/>
      <w:szCs w:val="20"/>
    </w:rPr>
  </w:style>
  <w:style w:type="paragraph" w:customStyle="1" w:styleId="Default">
    <w:name w:val="Default"/>
    <w:rsid w:val="006E59A4"/>
    <w:pPr>
      <w:autoSpaceDE w:val="0"/>
      <w:autoSpaceDN w:val="0"/>
      <w:adjustRightInd w:val="0"/>
      <w:spacing w:after="0" w:line="240" w:lineRule="auto"/>
    </w:pPr>
    <w:rPr>
      <w:rFonts w:ascii="LACCNJ+Calibri" w:hAnsi="LACCNJ+Calibri" w:cs="LACCNJ+Calibri"/>
      <w:color w:val="000000"/>
      <w:sz w:val="24"/>
      <w:szCs w:val="24"/>
    </w:rPr>
  </w:style>
  <w:style w:type="table" w:styleId="TableGridLight">
    <w:name w:val="Grid Table Light"/>
    <w:basedOn w:val="TableNormal"/>
    <w:uiPriority w:val="40"/>
    <w:rsid w:val="00326A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63354"/>
    <w:pPr>
      <w:spacing w:after="0" w:line="240" w:lineRule="auto"/>
    </w:pPr>
    <w:rPr>
      <w:rFonts w:ascii="Garamond" w:eastAsiaTheme="minorEastAsia" w:hAnsi="Garamond"/>
      <w:sz w:val="24"/>
    </w:rPr>
  </w:style>
  <w:style w:type="paragraph" w:styleId="Bibliography">
    <w:name w:val="Bibliography"/>
    <w:basedOn w:val="Normal"/>
    <w:next w:val="Normal"/>
    <w:uiPriority w:val="37"/>
    <w:semiHidden/>
    <w:unhideWhenUsed/>
    <w:rsid w:val="00256099"/>
  </w:style>
  <w:style w:type="character" w:styleId="Strong">
    <w:name w:val="Strong"/>
    <w:basedOn w:val="DefaultParagraphFont"/>
    <w:uiPriority w:val="22"/>
    <w:qFormat/>
    <w:rsid w:val="007D5044"/>
    <w:rPr>
      <w:b/>
      <w:bCs/>
    </w:rPr>
  </w:style>
  <w:style w:type="character" w:styleId="Hyperlink">
    <w:name w:val="Hyperlink"/>
    <w:basedOn w:val="DefaultParagraphFont"/>
    <w:uiPriority w:val="99"/>
    <w:semiHidden/>
    <w:unhideWhenUsed/>
    <w:rsid w:val="007D5044"/>
    <w:rPr>
      <w:color w:val="0000FF"/>
      <w:u w:val="single"/>
    </w:rPr>
  </w:style>
  <w:style w:type="character" w:customStyle="1" w:styleId="fipmark">
    <w:name w:val="fip_mark"/>
    <w:basedOn w:val="DefaultParagraphFont"/>
    <w:rsid w:val="00B50D95"/>
  </w:style>
  <w:style w:type="character" w:customStyle="1" w:styleId="Heading1Char">
    <w:name w:val="Heading 1 Char"/>
    <w:basedOn w:val="DefaultParagraphFont"/>
    <w:link w:val="Heading1"/>
    <w:uiPriority w:val="9"/>
    <w:rsid w:val="00CD051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8799">
      <w:bodyDiv w:val="1"/>
      <w:marLeft w:val="0"/>
      <w:marRight w:val="0"/>
      <w:marTop w:val="0"/>
      <w:marBottom w:val="0"/>
      <w:divBdr>
        <w:top w:val="none" w:sz="0" w:space="0" w:color="auto"/>
        <w:left w:val="none" w:sz="0" w:space="0" w:color="auto"/>
        <w:bottom w:val="none" w:sz="0" w:space="0" w:color="auto"/>
        <w:right w:val="none" w:sz="0" w:space="0" w:color="auto"/>
      </w:divBdr>
    </w:div>
    <w:div w:id="116149793">
      <w:bodyDiv w:val="1"/>
      <w:marLeft w:val="0"/>
      <w:marRight w:val="0"/>
      <w:marTop w:val="0"/>
      <w:marBottom w:val="0"/>
      <w:divBdr>
        <w:top w:val="none" w:sz="0" w:space="0" w:color="auto"/>
        <w:left w:val="none" w:sz="0" w:space="0" w:color="auto"/>
        <w:bottom w:val="none" w:sz="0" w:space="0" w:color="auto"/>
        <w:right w:val="none" w:sz="0" w:space="0" w:color="auto"/>
      </w:divBdr>
    </w:div>
    <w:div w:id="239801308">
      <w:bodyDiv w:val="1"/>
      <w:marLeft w:val="0"/>
      <w:marRight w:val="0"/>
      <w:marTop w:val="0"/>
      <w:marBottom w:val="0"/>
      <w:divBdr>
        <w:top w:val="none" w:sz="0" w:space="0" w:color="auto"/>
        <w:left w:val="none" w:sz="0" w:space="0" w:color="auto"/>
        <w:bottom w:val="none" w:sz="0" w:space="0" w:color="auto"/>
        <w:right w:val="none" w:sz="0" w:space="0" w:color="auto"/>
      </w:divBdr>
      <w:divsChild>
        <w:div w:id="320813324">
          <w:marLeft w:val="0"/>
          <w:marRight w:val="0"/>
          <w:marTop w:val="0"/>
          <w:marBottom w:val="0"/>
          <w:divBdr>
            <w:top w:val="none" w:sz="0" w:space="0" w:color="auto"/>
            <w:left w:val="none" w:sz="0" w:space="0" w:color="auto"/>
            <w:bottom w:val="none" w:sz="0" w:space="0" w:color="auto"/>
            <w:right w:val="none" w:sz="0" w:space="0" w:color="auto"/>
          </w:divBdr>
          <w:divsChild>
            <w:div w:id="1323436323">
              <w:blockQuote w:val="1"/>
              <w:marLeft w:val="0"/>
              <w:marRight w:val="0"/>
              <w:marTop w:val="360"/>
              <w:marBottom w:val="360"/>
              <w:divBdr>
                <w:top w:val="single" w:sz="24" w:space="23" w:color="F5F5F5"/>
                <w:left w:val="none" w:sz="0" w:space="0" w:color="auto"/>
                <w:bottom w:val="single" w:sz="24" w:space="23" w:color="F5F5F5"/>
                <w:right w:val="none" w:sz="0" w:space="0" w:color="auto"/>
              </w:divBdr>
            </w:div>
          </w:divsChild>
        </w:div>
      </w:divsChild>
    </w:div>
    <w:div w:id="808474441">
      <w:bodyDiv w:val="1"/>
      <w:marLeft w:val="0"/>
      <w:marRight w:val="0"/>
      <w:marTop w:val="0"/>
      <w:marBottom w:val="0"/>
      <w:divBdr>
        <w:top w:val="none" w:sz="0" w:space="0" w:color="auto"/>
        <w:left w:val="none" w:sz="0" w:space="0" w:color="auto"/>
        <w:bottom w:val="none" w:sz="0" w:space="0" w:color="auto"/>
        <w:right w:val="none" w:sz="0" w:space="0" w:color="auto"/>
      </w:divBdr>
    </w:div>
    <w:div w:id="845171464">
      <w:bodyDiv w:val="1"/>
      <w:marLeft w:val="0"/>
      <w:marRight w:val="0"/>
      <w:marTop w:val="0"/>
      <w:marBottom w:val="0"/>
      <w:divBdr>
        <w:top w:val="none" w:sz="0" w:space="0" w:color="auto"/>
        <w:left w:val="none" w:sz="0" w:space="0" w:color="auto"/>
        <w:bottom w:val="none" w:sz="0" w:space="0" w:color="auto"/>
        <w:right w:val="none" w:sz="0" w:space="0" w:color="auto"/>
      </w:divBdr>
    </w:div>
    <w:div w:id="1412121638">
      <w:bodyDiv w:val="1"/>
      <w:marLeft w:val="0"/>
      <w:marRight w:val="0"/>
      <w:marTop w:val="0"/>
      <w:marBottom w:val="0"/>
      <w:divBdr>
        <w:top w:val="none" w:sz="0" w:space="0" w:color="auto"/>
        <w:left w:val="none" w:sz="0" w:space="0" w:color="auto"/>
        <w:bottom w:val="none" w:sz="0" w:space="0" w:color="auto"/>
        <w:right w:val="none" w:sz="0" w:space="0" w:color="auto"/>
      </w:divBdr>
    </w:div>
    <w:div w:id="158992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1773D6F29DCF4A86E0900F95EF20A1" ma:contentTypeVersion="13" ma:contentTypeDescription="Create a new document." ma:contentTypeScope="" ma:versionID="9c72a5b4900b282f2bee9c3cd413e02c">
  <xsd:schema xmlns:xsd="http://www.w3.org/2001/XMLSchema" xmlns:xs="http://www.w3.org/2001/XMLSchema" xmlns:p="http://schemas.microsoft.com/office/2006/metadata/properties" xmlns:ns2="e317d5e3-a46d-447e-bb0b-593f7abb730d" xmlns:ns3="0408fcbc-2e10-4461-bee0-724c01b46ae9" targetNamespace="http://schemas.microsoft.com/office/2006/metadata/properties" ma:root="true" ma:fieldsID="2df5f3d4189aa5844e3b37583dc2b2ca" ns2:_="" ns3:_="">
    <xsd:import namespace="e317d5e3-a46d-447e-bb0b-593f7abb730d"/>
    <xsd:import namespace="0408fcbc-2e10-4461-bee0-724c01b46a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7d5e3-a46d-447e-bb0b-593f7abb7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8fcbc-2e10-4461-bee0-724c01b46a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b7629e-265a-4ae0-81c7-dfbf67cdab75}" ma:internalName="TaxCatchAll" ma:showField="CatchAllData" ma:web="0408fcbc-2e10-4461-bee0-724c01b46a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17d5e3-a46d-447e-bb0b-593f7abb730d">
      <Terms xmlns="http://schemas.microsoft.com/office/infopath/2007/PartnerControls"/>
    </lcf76f155ced4ddcb4097134ff3c332f>
    <TaxCatchAll xmlns="0408fcbc-2e10-4461-bee0-724c01b46ae9" xsi:nil="true"/>
  </documentManagement>
</p:properties>
</file>

<file path=customXml/itemProps1.xml><?xml version="1.0" encoding="utf-8"?>
<ds:datastoreItem xmlns:ds="http://schemas.openxmlformats.org/officeDocument/2006/customXml" ds:itemID="{056B720C-A61F-40D7-9841-49C4DDABAD39}"/>
</file>

<file path=customXml/itemProps2.xml><?xml version="1.0" encoding="utf-8"?>
<ds:datastoreItem xmlns:ds="http://schemas.openxmlformats.org/officeDocument/2006/customXml" ds:itemID="{BE798E57-D611-4F81-B323-7AE9BA35F891}"/>
</file>

<file path=customXml/itemProps3.xml><?xml version="1.0" encoding="utf-8"?>
<ds:datastoreItem xmlns:ds="http://schemas.openxmlformats.org/officeDocument/2006/customXml" ds:itemID="{028F033A-9F62-4074-8179-0D961E170D38}"/>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Koseva</dc:creator>
  <cp:keywords/>
  <dc:description/>
  <cp:lastModifiedBy>Janus, Magdalena</cp:lastModifiedBy>
  <cp:revision>2</cp:revision>
  <cp:lastPrinted>2019-09-10T17:23:00Z</cp:lastPrinted>
  <dcterms:created xsi:type="dcterms:W3CDTF">2022-03-11T15:13:00Z</dcterms:created>
  <dcterms:modified xsi:type="dcterms:W3CDTF">2022-03-11T15:13:00Z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0x010100D41773D6F29DCF4A86E0900F95EF20A1</vt:lpwstr>
  </property>
  <property fmtid="{D5CDD505-2E9C-101B-9397-08002B2CF9AE}" pid="3" name="Order">
    <vt:r8>13851400</vt:r8>
  </property>
</Properties>
</file>